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\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docProps\app.xml><?xml version="1.0" encoding="utf-8"?>
<Properties xmlns="http://schemas.openxmlformats.org/officeDocument/2006/extended-properties" xmlns:vt="http://schemas.openxmlformats.org/officeDocument/2006/docPropsVTypes">
  <Application>Codex</Application>
  <DocSecurity>0</DocSecurity>
  <ScaleCrop>false</ScaleCrop>
  <Company>KDL Work</Company>
  <LinksUpToDate>false</LinksUpToDate>
  <SharedDoc>false</SharedDoc>
  <HyperlinksChanged>false</HyperlinksChanged>
  <AppVersion>16.0000</AppVersion>
</Properties>
</file>

<file path=docProps\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GRL 功能语法逻辑与程序创建使用手册</dc:title>
  <dc:creator>Codex</dc:creator>
  <cp:lastModifiedBy>Codex</cp:lastModifiedBy>
  <dcterms:created xsi:type="dcterms:W3CDTF">2026-06-28T03:20:35.398Z</dcterms:created>
  <dcterms:modified xsi:type="dcterms:W3CDTF">2026-06-28T03:20:35.398Z</dcterms:modified>
</cp:coreProperties>
</file>

<file path=word\_rels\document.xml.rels><?xml version="1.0" encoding="UTF-8" standalone="yes"?>
<Relationships xmlns="http://schemas.openxmlformats.org/package/2006/relationships">
  <Relationship Id="rIdStyles" Type="http://schemas.openxmlformats.org/officeDocument/2006/relationships/styles" Target="styles.xml"/>
  <Relationship Id="rIdImage1" Type="http://schemas.openxmlformats.org/officeDocument/2006/relationships/image" Target="media/image-01.png"/>
<Relationship Id="rIdImage2" Type="http://schemas.openxmlformats.org/officeDocument/2006/relationships/image" Target="media/image-02.png"/>
<Relationship Id="rIdImage3" Type="http://schemas.openxmlformats.org/officeDocument/2006/relationships/image" Target="media/image-03.png"/>
<Relationship Id="rIdImage4" Type="http://schemas.openxmlformats.org/officeDocument/2006/relationships/image" Target="media/image-04.png"/>
<Relationship Id="rIdImage5" Type="http://schemas.openxmlformats.org/officeDocument/2006/relationships/image" Target="media/image-05.png"/>
<Relationship Id="rIdImage6" Type="http://schemas.openxmlformats.org/officeDocument/2006/relationships/image" Target="media/image-06.png"/>
<Relationship Id="rIdImage7" Type="http://schemas.openxmlformats.org/officeDocument/2006/relationships/image" Target="media/image-07.png"/>
</Relationships>
</file>

<file path=word\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Heading1"/>
      </w:pPr>
      <w:r>
        <w:t xml:space="preserve">GRL 功能、语法逻辑与程序创建使用手册</w:t>
      </w:r>
    </w:p>
    <w:p>
      <w:pPr>
        <w:pStyle w:val="BodyText"/>
      </w:pPr>
      <w:r>
        <w:t xml:space="preserve">生成时间：2026-06-28 11:20:35 Asia/Shanghai</w:t>
      </w:r>
    </w:p>
    <w:p>
      <w:pPr>
        <w:pStyle w:val="BodyText"/>
      </w:pPr>
      <w:r>
        <w:t xml:space="preserve">适用对象：通用机器人离线编程系统用户、工艺工程师、自动编程开发人员、虚拟调试人员。</w:t>
      </w:r>
    </w:p>
    <w:p>
      <w:pPr>
        <w:pStyle w:val="BodyText"/>
      </w:pPr>
      <w:r>
        <w:t xml:space="preserve">手册目标：用中文说明 GRL 的功能边界、语法逻辑、程序对象关系、创建程序步骤、仿真检查和后处理输出方式，并通过图示和源码示例帮助用户快速编写可运行程序。</w:t>
      </w:r>
    </w:p>
    <w:p>
      <w:pPr>
        <w:pStyle w:val="Heading1"/>
      </w:pPr>
      <w:r>
        <w:t xml:space="preserve">一、GRL 是什么</w:t>
      </w:r>
    </w:p>
    <w:p>
      <w:pPr>
        <w:pStyle w:val="BodyText"/>
      </w:pPr>
      <w:r>
        <w:t xml:space="preserve">GRL，全称 Generic Robot Language，是本离线编程系统中的通用机器人程序语言。它不是 ABB、FANUC 或 KUKA 任一品牌语言的拷贝，而是把多品牌机器人共同具备的目标点、运动、路径、工艺、IO、流程控制、异常和后处理语义抽象为统一文本。</w:t>
      </w:r>
    </w:p>
    <w:tbl>
      <w:tblPr>
        <w:tblStyle w:val="TableGrid"/>
        <w:tblW w:w="0" w:type="auto"/>
        <w:tblLook w:val="04A0"/>
      </w:tblPr>
      <w:tr>
        <w:tc>
          <w:tcPr>
            <w:tcW w:w="4600" w:type="dxa"/>
          </w:tcPr>
          <w:p>
            <w:pPr>
              <w:pStyle w:val="TableHeader"/>
            </w:pPr>
            <w:r>
              <w:t xml:space="preserve">目标</w:t>
            </w:r>
          </w:p>
        </w:tc>
        <w:tc>
          <w:tcPr>
            <w:tcW w:w="4600" w:type="dxa"/>
          </w:tcPr>
          <w:p>
            <w:pPr>
              <w:pStyle w:val="TableHeader"/>
            </w:pPr>
            <w:r>
              <w:t xml:space="preserve">说明</w:t>
            </w:r>
          </w:p>
        </w:tc>
      </w:tr>
      <w:tr>
        <w:tc>
          <w:tcPr>
            <w:tcW w:w="4600" w:type="dxa"/>
          </w:tcPr>
          <w:p>
            <w:pPr/>
            <w:r>
              <w:t xml:space="preserve">统一描述</w:t>
            </w:r>
          </w:p>
        </w:tc>
        <w:tc>
          <w:tcPr>
            <w:tcW w:w="4600" w:type="dxa"/>
          </w:tcPr>
          <w:p>
            <w:pPr/>
            <w:r>
              <w:t xml:space="preserve">用同一套 GRL 描述机器人程序、路径、工艺动作和 IO 逻辑。</w:t>
            </w:r>
          </w:p>
        </w:tc>
      </w:tr>
      <w:tr>
        <w:tc>
          <w:tcPr>
            <w:tcW w:w="4600" w:type="dxa"/>
          </w:tcPr>
          <w:p>
            <w:pPr/>
            <w:r>
              <w:t xml:space="preserve">可编译</w:t>
            </w:r>
          </w:p>
        </w:tc>
        <w:tc>
          <w:tcPr>
            <w:tcW w:w="4600" w:type="dxa"/>
          </w:tcPr>
          <w:p>
            <w:pPr/>
            <w:r>
              <w:t xml:space="preserve">GRL 经 lexer/parser/semantic analyzer 编译为统一 Executable IR。</w:t>
            </w:r>
          </w:p>
        </w:tc>
      </w:tr>
      <w:tr>
        <w:tc>
          <w:tcPr>
            <w:tcW w:w="4600" w:type="dxa"/>
          </w:tcPr>
          <w:p>
            <w:pPr/>
            <w:r>
              <w:t xml:space="preserve">可仿真</w:t>
            </w:r>
          </w:p>
        </w:tc>
        <w:tc>
          <w:tcPr>
            <w:tcW w:w="4600" w:type="dxa"/>
          </w:tcPr>
          <w:p>
            <w:pPr/>
            <w:r>
              <w:t xml:space="preserve">IR 可进入虚拟控制器运行，产生 trace、motion queue、IO image 和诊断。</w:t>
            </w:r>
          </w:p>
        </w:tc>
      </w:tr>
      <w:tr>
        <w:tc>
          <w:tcPr>
            <w:tcW w:w="4600" w:type="dxa"/>
          </w:tcPr>
          <w:p>
            <w:pPr/>
            <w:r>
              <w:t xml:space="preserve">可后处理</w:t>
            </w:r>
          </w:p>
        </w:tc>
        <w:tc>
          <w:tcPr>
            <w:tcW w:w="4600" w:type="dxa"/>
          </w:tcPr>
          <w:p>
            <w:pPr/>
            <w:r>
              <w:t xml:space="preserve">同一 IR 可输出 ABB RAPID、FANUC LS/TP 风格文本、KUKA KRL 原型程序。</w:t>
            </w:r>
          </w:p>
        </w:tc>
      </w:tr>
      <w:tr>
        <w:tc>
          <w:tcPr>
            <w:tcW w:w="4600" w:type="dxa"/>
          </w:tcPr>
          <w:p>
            <w:pPr/>
            <w:r>
              <w:t xml:space="preserve">可维护</w:t>
            </w:r>
          </w:p>
        </w:tc>
        <w:tc>
          <w:tcPr>
            <w:tcW w:w="4600" w:type="dxa"/>
          </w:tcPr>
          <w:p>
            <w:pPr/>
            <w:r>
              <w:t xml:space="preserve">文本稳定、可读、可 diff，适合版本管理和自动生成。</w:t>
            </w:r>
          </w:p>
        </w:tc>
      </w:tr>
    </w:tbl>
    <w:p>
      <w:pPr>
        <w:pStyle w:val="Heading1"/>
      </w:pPr>
      <w:r>
        <w:t xml:space="preserve">二、系统功能总览</w:t>
      </w:r>
    </w:p>
    <w:p>
      <w:pPr>
        <w:pStyle w:val="BodyText"/>
      </w:pPr>
      <w:r>
        <w:t xml:space="preserve">离线编程系统从项目数据、机器人模型和 GRL 程序出发，经过语义编译、KDL 运动规划、虚拟控制器执行、诊断报告和多品牌后处理，形成完整离线开发闭环。</w:t>
      </w:r>
    </w:p>
    <w:p>
      <w:pPr>
        <w:jc w:val="center"/>
      </w:pPr>
      <w:r>
        <w:drawing>
          <wp:inline distT="0" distB="0" distL="0" distR="0">
            <wp:extent cx="5943600" cy="3343275"/>
            <wp:effectExtent l="0" t="0" r="0" b="0"/>
            <wp:docPr id="1" name="系统功能总览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-01.png"/>
                    <pic:cNvPicPr/>
                  </pic:nvPicPr>
                  <pic:blipFill>
                    <a:blip r:embed="rId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 xml:space="preserve">图 1 系统功能总览图</w:t>
      </w:r>
    </w:p>
    <w:tbl>
      <w:tblPr>
        <w:tblStyle w:val="TableGrid"/>
        <w:tblW w:w="0" w:type="auto"/>
        <w:tblLook w:val="04A0"/>
      </w:tblPr>
      <w:tr>
        <w:tc>
          <w:tcPr>
            <w:tcW w:w="4600" w:type="dxa"/>
          </w:tcPr>
          <w:p>
            <w:pPr>
              <w:pStyle w:val="TableHeader"/>
            </w:pPr>
            <w:r>
              <w:t xml:space="preserve">模块</w:t>
            </w:r>
          </w:p>
        </w:tc>
        <w:tc>
          <w:tcPr>
            <w:tcW w:w="4600" w:type="dxa"/>
          </w:tcPr>
          <w:p>
            <w:pPr>
              <w:pStyle w:val="TableHeader"/>
            </w:pPr>
            <w:r>
              <w:t xml:space="preserve">主要职责</w:t>
            </w:r>
          </w:p>
        </w:tc>
      </w:tr>
      <w:tr>
        <w:tc>
          <w:tcPr>
            <w:tcW w:w="4600" w:type="dxa"/>
          </w:tcPr>
          <w:p>
            <w:pPr/>
            <w:r>
              <w:t xml:space="preserve">GRL 源码</w:t>
            </w:r>
          </w:p>
        </w:tc>
        <w:tc>
          <w:tcPr>
            <w:tcW w:w="4600" w:type="dxa"/>
          </w:tcPr>
          <w:p>
            <w:pPr/>
            <w:r>
              <w:t xml:space="preserve">声明工具、坐标系、目标点、速度、zone、path、operation 和 proc。</w:t>
            </w:r>
          </w:p>
        </w:tc>
      </w:tr>
      <w:tr>
        <w:tc>
          <w:tcPr>
            <w:tcW w:w="4600" w:type="dxa"/>
          </w:tcPr>
          <w:p>
            <w:pPr/>
            <w:r>
              <w:t xml:space="preserve">编译器</w:t>
            </w:r>
          </w:p>
        </w:tc>
        <w:tc>
          <w:tcPr>
            <w:tcW w:w="4600" w:type="dxa"/>
          </w:tcPr>
          <w:p>
            <w:pPr/>
            <w:r>
              <w:t xml:space="preserve">把源码解析为 AST，做符号解析、单位归一化、语义检查，生成 IR 和 KDL request。</w:t>
            </w:r>
          </w:p>
        </w:tc>
      </w:tr>
      <w:tr>
        <w:tc>
          <w:tcPr>
            <w:tcW w:w="4600" w:type="dxa"/>
          </w:tcPr>
          <w:p>
            <w:pPr/>
            <w:r>
              <w:t xml:space="preserve">KDL 运动规划</w:t>
            </w:r>
          </w:p>
        </w:tc>
        <w:tc>
          <w:tcPr>
            <w:tcW w:w="4600" w:type="dxa"/>
          </w:tcPr>
          <w:p>
            <w:pPr/>
            <w:r>
              <w:t xml:space="preserve">处理 FK、IK、MoveJ、MoveL、MoveC、Path planning、可达性和轨迹采样。</w:t>
            </w:r>
          </w:p>
        </w:tc>
      </w:tr>
      <w:tr>
        <w:tc>
          <w:tcPr>
            <w:tcW w:w="4600" w:type="dxa"/>
          </w:tcPr>
          <w:p>
            <w:pPr/>
            <w:r>
              <w:t xml:space="preserve">虚拟控制器</w:t>
            </w:r>
          </w:p>
        </w:tc>
        <w:tc>
          <w:tcPr>
            <w:tcW w:w="4600" w:type="dxa"/>
          </w:tcPr>
          <w:p>
            <w:pPr/>
            <w:r>
              <w:t xml:space="preserve">执行 IR，维护程序计数器、调用栈、报警队列、IO 镜像、运动队列和 trace。</w:t>
            </w:r>
          </w:p>
        </w:tc>
      </w:tr>
      <w:tr>
        <w:tc>
          <w:tcPr>
            <w:tcW w:w="4600" w:type="dxa"/>
          </w:tcPr>
          <w:p>
            <w:pPr/>
            <w:r>
              <w:t xml:space="preserve">后处理器</w:t>
            </w:r>
          </w:p>
        </w:tc>
        <w:tc>
          <w:tcPr>
            <w:tcW w:w="4600" w:type="dxa"/>
          </w:tcPr>
          <w:p>
            <w:pPr/>
            <w:r>
              <w:t xml:space="preserve">按 ABB/FANUC/KUKA 规则输出品牌程序，并记录无法保真映射的转换报告。</w:t>
            </w:r>
          </w:p>
        </w:tc>
      </w:tr>
    </w:tbl>
    <w:p>
      <w:pPr>
        <w:pStyle w:val="Heading1"/>
      </w:pPr>
      <w:r>
        <w:t xml:space="preserve">三、GRL 程序基本结构</w:t>
      </w:r>
    </w:p>
    <w:p>
      <w:pPr>
        <w:pStyle w:val="BodyText"/>
      </w:pPr>
      <w:r>
        <w:t xml:space="preserve">一个 GRL 文件通常由 language 声明、module 声明、数据声明、目标点、路径、工艺操作和 main 子程序组成。最小程序只需要定义模块入口和一条运动。</w:t>
      </w:r>
    </w:p>
    <w:p>
      <w:pPr>
        <w:pStyle w:val="Code"/>
      </w:pPr>
      <w:r>
        <w:t xml:space="preserve">language grl 0.1</w:t>
      </w:r>
    </w:p>
    <w:p>
      <w:pPr>
        <w:pStyle w:val="Code"/>
      </w:pPr>
      <w:r>
        <w:t xml:space="preserve">module A120Smoke</w:t>
      </w:r>
    </w:p>
    <w:p>
      <w:pPr>
        <w:pStyle w:val="Code"/>
      </w:pPr>
      <w:r>
        <w:t xml:space="preserve">  const speed v_joint = joint(40 %)</w:t>
      </w:r>
    </w:p>
    <w:p>
      <w:pPr>
        <w:pStyle w:val="Code"/>
      </w:pPr>
      <w:r>
        <w:t xml:space="preserve">  const zone zf = fine</w:t>
      </w:r>
    </w:p>
    <w:p>
      <w:pPr>
        <w:pStyle w:val="Code"/>
      </w:pPr>
      <w:r>
        <w:t xml:space="preserve">  target home = joint_target { joints: [0 deg, 0 deg, 0 deg, 0 deg, 0 deg, 0 deg] }</w:t>
      </w:r>
    </w:p>
    <w:p>
      <w:pPr>
        <w:pStyle w:val="Code"/>
      </w:pPr>
      <w:r>
        <w:t xml:space="preserve">  proc main()</w:t>
      </w:r>
    </w:p>
    <w:p>
      <w:pPr>
        <w:pStyle w:val="Code"/>
      </w:pPr>
      <w:r>
        <w:t xml:space="preserve">    movej home speed v_joint zone zf</w:t>
      </w:r>
    </w:p>
    <w:p>
      <w:pPr>
        <w:pStyle w:val="Code"/>
      </w:pPr>
      <w:r>
        <w:t xml:space="preserve">  end</w:t>
      </w:r>
    </w:p>
    <w:p>
      <w:pPr>
        <w:pStyle w:val="Code"/>
      </w:pPr>
      <w:r>
        <w:t xml:space="preserve">end</w:t>
      </w:r>
    </w:p>
    <w:tbl>
      <w:tblPr>
        <w:tblStyle w:val="TableGrid"/>
        <w:tblW w:w="0" w:type="auto"/>
        <w:tblLook w:val="04A0"/>
      </w:tblPr>
      <w:tr>
        <w:tc>
          <w:tcPr>
            <w:tcW w:w="4600" w:type="dxa"/>
          </w:tcPr>
          <w:p>
            <w:pPr>
              <w:pStyle w:val="TableHeader"/>
            </w:pPr>
            <w:r>
              <w:t xml:space="preserve">结构</w:t>
            </w:r>
          </w:p>
        </w:tc>
        <w:tc>
          <w:tcPr>
            <w:tcW w:w="4600" w:type="dxa"/>
          </w:tcPr>
          <w:p>
            <w:pPr>
              <w:pStyle w:val="TableHeader"/>
            </w:pPr>
            <w:r>
              <w:t xml:space="preserve">作用</w:t>
            </w:r>
          </w:p>
        </w:tc>
      </w:tr>
      <w:tr>
        <w:tc>
          <w:tcPr>
            <w:tcW w:w="4600" w:type="dxa"/>
          </w:tcPr>
          <w:p>
            <w:pPr/>
            <w:r>
              <w:t xml:space="preserve">language grl 0.1</w:t>
            </w:r>
          </w:p>
        </w:tc>
        <w:tc>
          <w:tcPr>
            <w:tcW w:w="4600" w:type="dxa"/>
          </w:tcPr>
          <w:p>
            <w:pPr/>
            <w:r>
              <w:t xml:space="preserve">声明语言版本，便于后续兼容升级。</w:t>
            </w:r>
          </w:p>
        </w:tc>
      </w:tr>
      <w:tr>
        <w:tc>
          <w:tcPr>
            <w:tcW w:w="4600" w:type="dxa"/>
          </w:tcPr>
          <w:p>
            <w:pPr/>
            <w:r>
              <w:t xml:space="preserve">module</w:t>
            </w:r>
          </w:p>
        </w:tc>
        <w:tc>
          <w:tcPr>
            <w:tcW w:w="4600" w:type="dxa"/>
          </w:tcPr>
          <w:p>
            <w:pPr/>
            <w:r>
              <w:t xml:space="preserve">程序模块，类似 ABB MODULE、KUKA DEF 文件或 FANUC 程序容器。</w:t>
            </w:r>
          </w:p>
        </w:tc>
      </w:tr>
      <w:tr>
        <w:tc>
          <w:tcPr>
            <w:tcW w:w="4600" w:type="dxa"/>
          </w:tcPr>
          <w:p>
            <w:pPr/>
            <w:r>
              <w:t xml:space="preserve">const/persistent/var</w:t>
            </w:r>
          </w:p>
        </w:tc>
        <w:tc>
          <w:tcPr>
            <w:tcW w:w="4600" w:type="dxa"/>
          </w:tcPr>
          <w:p>
            <w:pPr/>
            <w:r>
              <w:t xml:space="preserve">声明常量、持久数据或局部变量。</w:t>
            </w:r>
          </w:p>
        </w:tc>
      </w:tr>
      <w:tr>
        <w:tc>
          <w:tcPr>
            <w:tcW w:w="4600" w:type="dxa"/>
          </w:tcPr>
          <w:p>
            <w:pPr/>
            <w:r>
              <w:t xml:space="preserve">target</w:t>
            </w:r>
          </w:p>
        </w:tc>
        <w:tc>
          <w:tcPr>
            <w:tcW w:w="4600" w:type="dxa"/>
          </w:tcPr>
          <w:p>
            <w:pPr/>
            <w:r>
              <w:t xml:space="preserve">声明 joint_target 或 pose_target。</w:t>
            </w:r>
          </w:p>
        </w:tc>
      </w:tr>
      <w:tr>
        <w:tc>
          <w:tcPr>
            <w:tcW w:w="4600" w:type="dxa"/>
          </w:tcPr>
          <w:p>
            <w:pPr/>
            <w:r>
              <w:t xml:space="preserve">proc main()</w:t>
            </w:r>
          </w:p>
        </w:tc>
        <w:tc>
          <w:tcPr>
            <w:tcW w:w="4600" w:type="dxa"/>
          </w:tcPr>
          <w:p>
            <w:pPr/>
            <w:r>
              <w:t xml:space="preserve">默认入口程序。虚拟控制器从 main 开始执行。</w:t>
            </w:r>
          </w:p>
        </w:tc>
      </w:tr>
      <w:tr>
        <w:tc>
          <w:tcPr>
            <w:tcW w:w="4600" w:type="dxa"/>
          </w:tcPr>
          <w:p>
            <w:pPr/>
            <w:r>
              <w:t xml:space="preserve">movej/movel/movec</w:t>
            </w:r>
          </w:p>
        </w:tc>
        <w:tc>
          <w:tcPr>
            <w:tcW w:w="4600" w:type="dxa"/>
          </w:tcPr>
          <w:p>
            <w:pPr/>
            <w:r>
              <w:t xml:space="preserve">基础运动指令，最终进入 KDL 规划或品牌后处理。</w:t>
            </w:r>
          </w:p>
        </w:tc>
      </w:tr>
    </w:tbl>
    <w:p>
      <w:pPr>
        <w:pStyle w:val="Heading1"/>
      </w:pPr>
      <w:r>
        <w:t xml:space="preserve">四、对象模型和语法逻辑</w:t>
      </w:r>
    </w:p>
    <w:p>
      <w:pPr>
        <w:pStyle w:val="BodyText"/>
      </w:pPr>
      <w:r>
        <w:t xml:space="preserve">GRL 的语法逻辑建议按“数据先声明、路径再组织、工艺再封装、入口只调用”的方式理解。手写小程序可以直接在 main 中写运动，自动编程和复杂工艺应优先生成 path 和 operation。</w:t>
      </w:r>
    </w:p>
    <w:p>
      <w:pPr>
        <w:jc w:val="center"/>
      </w:pPr>
      <w:r>
        <w:drawing>
          <wp:inline distT="0" distB="0" distL="0" distR="0">
            <wp:extent cx="5943600" cy="3343275"/>
            <wp:effectExtent l="0" t="0" r="0" b="0"/>
            <wp:docPr id="2" name="GRL 到 IR 编译流程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-02.png"/>
                    <pic:cNvPicPr/>
                  </pic:nvPicPr>
                  <pic:blipFill>
                    <a:blip r:embed="rId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 xml:space="preserve">图 2 GRL 到 IR 编译流程图</w:t>
      </w:r>
    </w:p>
    <w:tbl>
      <w:tblPr>
        <w:tblStyle w:val="TableGrid"/>
        <w:tblW w:w="0" w:type="auto"/>
        <w:tblLook w:val="04A0"/>
      </w:tblPr>
      <w:tr>
        <w:tc>
          <w:tcPr>
            <w:tcW w:w="3066" w:type="dxa"/>
          </w:tcPr>
          <w:p>
            <w:pPr>
              <w:pStyle w:val="TableHeader"/>
            </w:pPr>
            <w:r>
              <w:t xml:space="preserve">对象</w:t>
            </w:r>
          </w:p>
        </w:tc>
        <w:tc>
          <w:tcPr>
            <w:tcW w:w="3066" w:type="dxa"/>
          </w:tcPr>
          <w:p>
            <w:pPr>
              <w:pStyle w:val="TableHeader"/>
            </w:pPr>
            <w:r>
              <w:t xml:space="preserve">语法</w:t>
            </w:r>
          </w:p>
        </w:tc>
        <w:tc>
          <w:tcPr>
            <w:tcW w:w="3066" w:type="dxa"/>
          </w:tcPr>
          <w:p>
            <w:pPr>
              <w:pStyle w:val="TableHeader"/>
            </w:pPr>
            <w:r>
              <w:t xml:space="preserve">使用建议</w:t>
            </w:r>
          </w:p>
        </w:tc>
      </w:tr>
      <w:tr>
        <w:tc>
          <w:tcPr>
            <w:tcW w:w="3066" w:type="dxa"/>
          </w:tcPr>
          <w:p>
            <w:pPr/>
            <w:r>
              <w:t xml:space="preserve">工具</w:t>
            </w:r>
          </w:p>
        </w:tc>
        <w:tc>
          <w:tcPr>
            <w:tcW w:w="3066" w:type="dxa"/>
          </w:tcPr>
          <w:p>
            <w:pPr/>
            <w:r>
              <w:t xml:space="preserve">persistent tool gripper = tool { ... }</w:t>
            </w:r>
          </w:p>
        </w:tc>
        <w:tc>
          <w:tcPr>
            <w:tcW w:w="3066" w:type="dxa"/>
          </w:tcPr>
          <w:p>
            <w:pPr/>
            <w:r>
              <w:t xml:space="preserve">描述 TCP、质量、重心。运动时通过 tool 参数或 path defaults 引用。</w:t>
            </w:r>
          </w:p>
        </w:tc>
      </w:tr>
      <w:tr>
        <w:tc>
          <w:tcPr>
            <w:tcW w:w="3066" w:type="dxa"/>
          </w:tcPr>
          <w:p>
            <w:pPr/>
            <w:r>
              <w:t xml:space="preserve">坐标系</w:t>
            </w:r>
          </w:p>
        </w:tc>
        <w:tc>
          <w:tcPr>
            <w:tcW w:w="3066" w:type="dxa"/>
          </w:tcPr>
          <w:p>
            <w:pPr/>
            <w:r>
              <w:t xml:space="preserve">persistent frame fixture = frame { ... }</w:t>
            </w:r>
          </w:p>
        </w:tc>
        <w:tc>
          <w:tcPr>
            <w:tcW w:w="3066" w:type="dxa"/>
          </w:tcPr>
          <w:p>
            <w:pPr/>
            <w:r>
              <w:t xml:space="preserve">描述工件坐标或基坐标。目标点和路径应显式绑定 frame。</w:t>
            </w:r>
          </w:p>
        </w:tc>
      </w:tr>
      <w:tr>
        <w:tc>
          <w:tcPr>
            <w:tcW w:w="3066" w:type="dxa"/>
          </w:tcPr>
          <w:p>
            <w:pPr/>
            <w:r>
              <w:t xml:space="preserve">速度</w:t>
            </w:r>
          </w:p>
        </w:tc>
        <w:tc>
          <w:tcPr>
            <w:tcW w:w="3066" w:type="dxa"/>
          </w:tcPr>
          <w:p>
            <w:pPr/>
            <w:r>
              <w:t xml:space="preserve">const speed v = linear(300 mm/s) / joint(50 %)</w:t>
            </w:r>
          </w:p>
        </w:tc>
        <w:tc>
          <w:tcPr>
            <w:tcW w:w="3066" w:type="dxa"/>
          </w:tcPr>
          <w:p>
            <w:pPr/>
            <w:r>
              <w:t xml:space="preserve">按运动类型选择 joint、linear、angular。</w:t>
            </w:r>
          </w:p>
        </w:tc>
      </w:tr>
      <w:tr>
        <w:tc>
          <w:tcPr>
            <w:tcW w:w="3066" w:type="dxa"/>
          </w:tcPr>
          <w:p>
            <w:pPr/>
            <w:r>
              <w:t xml:space="preserve">过渡</w:t>
            </w:r>
          </w:p>
        </w:tc>
        <w:tc>
          <w:tcPr>
            <w:tcW w:w="3066" w:type="dxa"/>
          </w:tcPr>
          <w:p>
            <w:pPr/>
            <w:r>
              <w:t xml:space="preserve">const zone z10 = z(10 mm) / fine / cnt(30)</w:t>
            </w:r>
          </w:p>
        </w:tc>
        <w:tc>
          <w:tcPr>
            <w:tcW w:w="3066" w:type="dxa"/>
          </w:tcPr>
          <w:p>
            <w:pPr/>
            <w:r>
              <w:t xml:space="preserve">fine 精确到点；z/cnt/continuous 用于连续过渡。</w:t>
            </w:r>
          </w:p>
        </w:tc>
      </w:tr>
      <w:tr>
        <w:tc>
          <w:tcPr>
            <w:tcW w:w="3066" w:type="dxa"/>
          </w:tcPr>
          <w:p>
            <w:pPr/>
            <w:r>
              <w:t xml:space="preserve">目标点</w:t>
            </w:r>
          </w:p>
        </w:tc>
        <w:tc>
          <w:tcPr>
            <w:tcW w:w="3066" w:type="dxa"/>
          </w:tcPr>
          <w:p>
            <w:pPr/>
            <w:r>
              <w:t xml:space="preserve">target pick = pose_target { pose: pose(...) }</w:t>
            </w:r>
          </w:p>
        </w:tc>
        <w:tc>
          <w:tcPr>
            <w:tcW w:w="3066" w:type="dxa"/>
          </w:tcPr>
          <w:p>
            <w:pPr/>
            <w:r>
              <w:t xml:space="preserve">关节目标用 joint_target；笛卡尔点用 pose_target。</w:t>
            </w:r>
          </w:p>
        </w:tc>
      </w:tr>
      <w:tr>
        <w:tc>
          <w:tcPr>
            <w:tcW w:w="3066" w:type="dxa"/>
          </w:tcPr>
          <w:p>
            <w:pPr/>
            <w:r>
              <w:t xml:space="preserve">路径</w:t>
            </w:r>
          </w:p>
        </w:tc>
        <w:tc>
          <w:tcPr>
            <w:tcW w:w="3066" w:type="dxa"/>
          </w:tcPr>
          <w:p>
            <w:pPr/>
            <w:r>
              <w:t xml:space="preserve">path pick_path { defaults ... point ... event ... }</w:t>
            </w:r>
          </w:p>
        </w:tc>
        <w:tc>
          <w:tcPr>
            <w:tcW w:w="3066" w:type="dxa"/>
          </w:tcPr>
          <w:p>
            <w:pPr/>
            <w:r>
              <w:t xml:space="preserve">自动编程优先生成 path，点名保持稳定。</w:t>
            </w:r>
          </w:p>
        </w:tc>
      </w:tr>
      <w:tr>
        <w:tc>
          <w:tcPr>
            <w:tcW w:w="3066" w:type="dxa"/>
          </w:tcPr>
          <w:p>
            <w:pPr/>
            <w:r>
              <w:t xml:space="preserve">工艺</w:t>
            </w:r>
          </w:p>
        </w:tc>
        <w:tc>
          <w:tcPr>
            <w:tcW w:w="3066" w:type="dxa"/>
          </w:tcPr>
          <w:p>
            <w:pPr/>
            <w:r>
              <w:t xml:space="preserve">operation pick_op { kind: handling path: pick_path ... }</w:t>
            </w:r>
          </w:p>
        </w:tc>
        <w:tc>
          <w:tcPr>
            <w:tcW w:w="3066" w:type="dxa"/>
          </w:tcPr>
          <w:p>
            <w:pPr/>
            <w:r>
              <w:t xml:space="preserve">封装路径、工艺参数、start_action/end_action。</w:t>
            </w:r>
          </w:p>
        </w:tc>
      </w:tr>
      <w:tr>
        <w:tc>
          <w:tcPr>
            <w:tcW w:w="3066" w:type="dxa"/>
          </w:tcPr>
          <w:p>
            <w:pPr/>
            <w:r>
              <w:t xml:space="preserve">入口程序</w:t>
            </w:r>
          </w:p>
        </w:tc>
        <w:tc>
          <w:tcPr>
            <w:tcW w:w="3066" w:type="dxa"/>
          </w:tcPr>
          <w:p>
            <w:pPr/>
            <w:r>
              <w:t xml:space="preserve">proc main() run_operation pick_op end</w:t>
            </w:r>
          </w:p>
        </w:tc>
        <w:tc>
          <w:tcPr>
            <w:tcW w:w="3066" w:type="dxa"/>
          </w:tcPr>
          <w:p>
            <w:pPr/>
            <w:r>
              <w:t xml:space="preserve">入口程序保持短，便于调试和后处理。</w:t>
            </w:r>
          </w:p>
        </w:tc>
      </w:tr>
    </w:tbl>
    <w:p>
      <w:pPr>
        <w:pStyle w:val="Heading1"/>
      </w:pPr>
      <w:r>
        <w:t xml:space="preserve">五、表达式、单位和常量求值</w:t>
      </w:r>
    </w:p>
    <w:p>
      <w:pPr>
        <w:pStyle w:val="BodyText"/>
      </w:pPr>
      <w:r>
        <w:t xml:space="preserve">GRL 支持带单位表达式。编译器会在需要常量的位置做单位归一化，例如 mm 转 m、deg 转 rad、ms 转 s、% 转比例。这样同一程序在仿真和后处理中使用统一数值。</w:t>
      </w:r>
    </w:p>
    <w:tbl>
      <w:tblPr>
        <w:tblStyle w:val="TableGrid"/>
        <w:tblW w:w="0" w:type="auto"/>
        <w:tblLook w:val="04A0"/>
      </w:tblPr>
      <w:tr>
        <w:tc>
          <w:tcPr>
            <w:tcW w:w="3066" w:type="dxa"/>
          </w:tcPr>
          <w:p>
            <w:pPr>
              <w:pStyle w:val="TableHeader"/>
            </w:pPr>
            <w:r>
              <w:t xml:space="preserve">类别</w:t>
            </w:r>
          </w:p>
        </w:tc>
        <w:tc>
          <w:tcPr>
            <w:tcW w:w="3066" w:type="dxa"/>
          </w:tcPr>
          <w:p>
            <w:pPr>
              <w:pStyle w:val="TableHeader"/>
            </w:pPr>
            <w:r>
              <w:t xml:space="preserve">示例</w:t>
            </w:r>
          </w:p>
        </w:tc>
        <w:tc>
          <w:tcPr>
            <w:tcW w:w="3066" w:type="dxa"/>
          </w:tcPr>
          <w:p>
            <w:pPr>
              <w:pStyle w:val="TableHeader"/>
            </w:pPr>
            <w:r>
              <w:t xml:space="preserve">说明</w:t>
            </w:r>
          </w:p>
        </w:tc>
      </w:tr>
      <w:tr>
        <w:tc>
          <w:tcPr>
            <w:tcW w:w="3066" w:type="dxa"/>
          </w:tcPr>
          <w:p>
            <w:pPr/>
            <w:r>
              <w:t xml:space="preserve">长度</w:t>
            </w:r>
          </w:p>
        </w:tc>
        <w:tc>
          <w:tcPr>
            <w:tcW w:w="3066" w:type="dxa"/>
          </w:tcPr>
          <w:p>
            <w:pPr/>
            <w:r>
              <w:t xml:space="preserve">100 mm、0.25 m</w:t>
            </w:r>
          </w:p>
        </w:tc>
        <w:tc>
          <w:tcPr>
            <w:tcW w:w="3066" w:type="dxa"/>
          </w:tcPr>
          <w:p>
            <w:pPr/>
            <w:r>
              <w:t xml:space="preserve">内部统一为 meter。</w:t>
            </w:r>
          </w:p>
        </w:tc>
      </w:tr>
      <w:tr>
        <w:tc>
          <w:tcPr>
            <w:tcW w:w="3066" w:type="dxa"/>
          </w:tcPr>
          <w:p>
            <w:pPr/>
            <w:r>
              <w:t xml:space="preserve">角度</w:t>
            </w:r>
          </w:p>
        </w:tc>
        <w:tc>
          <w:tcPr>
            <w:tcW w:w="3066" w:type="dxa"/>
          </w:tcPr>
          <w:p>
            <w:pPr/>
            <w:r>
              <w:t xml:space="preserve">90 deg、1.57 rad</w:t>
            </w:r>
          </w:p>
        </w:tc>
        <w:tc>
          <w:tcPr>
            <w:tcW w:w="3066" w:type="dxa"/>
          </w:tcPr>
          <w:p>
            <w:pPr/>
            <w:r>
              <w:t xml:space="preserve">内部统一为 radian。</w:t>
            </w:r>
          </w:p>
        </w:tc>
      </w:tr>
      <w:tr>
        <w:tc>
          <w:tcPr>
            <w:tcW w:w="3066" w:type="dxa"/>
          </w:tcPr>
          <w:p>
            <w:pPr/>
            <w:r>
              <w:t xml:space="preserve">时间</w:t>
            </w:r>
          </w:p>
        </w:tc>
        <w:tc>
          <w:tcPr>
            <w:tcW w:w="3066" w:type="dxa"/>
          </w:tcPr>
          <w:p>
            <w:pPr/>
            <w:r>
              <w:t xml:space="preserve">200 ms、2 s</w:t>
            </w:r>
          </w:p>
        </w:tc>
        <w:tc>
          <w:tcPr>
            <w:tcW w:w="3066" w:type="dxa"/>
          </w:tcPr>
          <w:p>
            <w:pPr/>
            <w:r>
              <w:t xml:space="preserve">内部统一为 second。</w:t>
            </w:r>
          </w:p>
        </w:tc>
      </w:tr>
      <w:tr>
        <w:tc>
          <w:tcPr>
            <w:tcW w:w="3066" w:type="dxa"/>
          </w:tcPr>
          <w:p>
            <w:pPr/>
            <w:r>
              <w:t xml:space="preserve">速度</w:t>
            </w:r>
          </w:p>
        </w:tc>
        <w:tc>
          <w:tcPr>
            <w:tcW w:w="3066" w:type="dxa"/>
          </w:tcPr>
          <w:p>
            <w:pPr/>
            <w:r>
              <w:t xml:space="preserve">linear(300 mm/s)、joint(50 %)</w:t>
            </w:r>
          </w:p>
        </w:tc>
        <w:tc>
          <w:tcPr>
            <w:tcW w:w="3066" w:type="dxa"/>
          </w:tcPr>
          <w:p>
            <w:pPr/>
            <w:r>
              <w:t xml:space="preserve">分别表示 TCP 线速度和关节速度比例。</w:t>
            </w:r>
          </w:p>
        </w:tc>
      </w:tr>
      <w:tr>
        <w:tc>
          <w:tcPr>
            <w:tcW w:w="3066" w:type="dxa"/>
          </w:tcPr>
          <w:p>
            <w:pPr/>
            <w:r>
              <w:t xml:space="preserve">数学函数</w:t>
            </w:r>
          </w:p>
        </w:tc>
        <w:tc>
          <w:tcPr>
            <w:tcW w:w="3066" w:type="dxa"/>
          </w:tcPr>
          <w:p>
            <w:pPr/>
            <w:r>
              <w:t xml:space="preserve">atan2(0, 1)、max(50 mm/s, 150 mm/s)</w:t>
            </w:r>
          </w:p>
        </w:tc>
        <w:tc>
          <w:tcPr>
            <w:tcW w:w="3066" w:type="dxa"/>
          </w:tcPr>
          <w:p>
            <w:pPr/>
            <w:r>
              <w:t xml:space="preserve">支持常用三角函数和数值函数。</w:t>
            </w:r>
          </w:p>
        </w:tc>
      </w:tr>
      <w:tr>
        <w:tc>
          <w:tcPr>
            <w:tcW w:w="3066" w:type="dxa"/>
          </w:tcPr>
          <w:p>
            <w:pPr/>
            <w:r>
              <w:t xml:space="preserve">单位检查</w:t>
            </w:r>
          </w:p>
        </w:tc>
        <w:tc>
          <w:tcPr>
            <w:tcW w:w="3066" w:type="dxa"/>
          </w:tcPr>
          <w:p>
            <w:pPr/>
            <w:r>
              <w:t xml:space="preserve">10 mm + 2 s</w:t>
            </w:r>
          </w:p>
        </w:tc>
        <w:tc>
          <w:tcPr>
            <w:tcW w:w="3066" w:type="dxa"/>
          </w:tcPr>
          <w:p>
            <w:pPr/>
            <w:r>
              <w:t xml:space="preserve">不同维度相加会产生诊断。</w:t>
            </w:r>
          </w:p>
        </w:tc>
      </w:tr>
    </w:tbl>
    <w:p>
      <w:pPr>
        <w:pStyle w:val="Heading1"/>
      </w:pPr>
      <w:r>
        <w:t xml:space="preserve">六、运动语法</w:t>
      </w:r>
    </w:p>
    <w:p>
      <w:pPr>
        <w:pStyle w:val="BodyText"/>
      </w:pPr>
      <w:r>
        <w:t xml:space="preserve">运动指令分为 MoveJ、MoveL、MoveC 三类。MoveJ 走关节空间，MoveL 走 TCP 直线，MoveC 走 TCP 圆弧。每条运动最终都需要确定 target、speed、zone、tool 和 frame。</w:t>
      </w:r>
    </w:p>
    <w:p>
      <w:pPr>
        <w:jc w:val="center"/>
      </w:pPr>
      <w:r>
        <w:drawing>
          <wp:inline distT="0" distB="0" distL="0" distR="0">
            <wp:extent cx="5943600" cy="3343275"/>
            <wp:effectExtent l="0" t="0" r="0" b="0"/>
            <wp:docPr id="3" name="运动规划与 KDL 数据流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-03.png"/>
                    <pic:cNvPicPr/>
                  </pic:nvPicPr>
                  <pic:blipFill>
                    <a:blip r:embed="rId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 xml:space="preserve">图 3 运动规划与 KDL 数据流图</w:t>
      </w:r>
    </w:p>
    <w:tbl>
      <w:tblPr>
        <w:tblStyle w:val="TableGrid"/>
        <w:tblW w:w="0" w:type="auto"/>
        <w:tblLook w:val="04A0"/>
      </w:tblPr>
      <w:tr>
        <w:tc>
          <w:tcPr>
            <w:tcW w:w="2300" w:type="dxa"/>
          </w:tcPr>
          <w:p>
            <w:pPr>
              <w:pStyle w:val="TableHeader"/>
            </w:pPr>
            <w:r>
              <w:t xml:space="preserve">指令</w:t>
            </w:r>
          </w:p>
        </w:tc>
        <w:tc>
          <w:tcPr>
            <w:tcW w:w="2300" w:type="dxa"/>
          </w:tcPr>
          <w:p>
            <w:pPr>
              <w:pStyle w:val="TableHeader"/>
            </w:pPr>
            <w:r>
              <w:t xml:space="preserve">语法</w:t>
            </w:r>
          </w:p>
        </w:tc>
        <w:tc>
          <w:tcPr>
            <w:tcW w:w="2300" w:type="dxa"/>
          </w:tcPr>
          <w:p>
            <w:pPr>
              <w:pStyle w:val="TableHeader"/>
            </w:pPr>
            <w:r>
              <w:t xml:space="preserve">语义</w:t>
            </w:r>
          </w:p>
        </w:tc>
        <w:tc>
          <w:tcPr>
            <w:tcW w:w="2300" w:type="dxa"/>
          </w:tcPr>
          <w:p>
            <w:pPr>
              <w:pStyle w:val="TableHeader"/>
            </w:pPr>
            <w:r>
              <w:t xml:space="preserve">品牌映射</w:t>
            </w:r>
          </w:p>
        </w:tc>
      </w:tr>
      <w:tr>
        <w:tc>
          <w:tcPr>
            <w:tcW w:w="2300" w:type="dxa"/>
          </w:tcPr>
          <w:p>
            <w:pPr/>
            <w:r>
              <w:t xml:space="preserve">movej</w:t>
            </w:r>
          </w:p>
        </w:tc>
        <w:tc>
          <w:tcPr>
            <w:tcW w:w="2300" w:type="dxa"/>
          </w:tcPr>
          <w:p>
            <w:pPr/>
            <w:r>
              <w:t xml:space="preserve">movej home speed v_joint zone fine</w:t>
            </w:r>
          </w:p>
        </w:tc>
        <w:tc>
          <w:tcPr>
            <w:tcW w:w="2300" w:type="dxa"/>
          </w:tcPr>
          <w:p>
            <w:pPr/>
            <w:r>
              <w:t xml:space="preserve">关节空间运动，适合回零和快速接近。</w:t>
            </w:r>
          </w:p>
        </w:tc>
        <w:tc>
          <w:tcPr>
            <w:tcW w:w="2300" w:type="dxa"/>
          </w:tcPr>
          <w:p>
            <w:pPr/>
            <w:r>
              <w:t xml:space="preserve">ABB MoveJ / FANUC J / KUKA PTP</w:t>
            </w:r>
          </w:p>
        </w:tc>
      </w:tr>
      <w:tr>
        <w:tc>
          <w:tcPr>
            <w:tcW w:w="2300" w:type="dxa"/>
          </w:tcPr>
          <w:p>
            <w:pPr/>
            <w:r>
              <w:t xml:space="preserve">movel</w:t>
            </w:r>
          </w:p>
        </w:tc>
        <w:tc>
          <w:tcPr>
            <w:tcW w:w="2300" w:type="dxa"/>
          </w:tcPr>
          <w:p>
            <w:pPr/>
            <w:r>
              <w:t xml:space="preserve">movel pick speed v_linear zone z10</w:t>
            </w:r>
          </w:p>
        </w:tc>
        <w:tc>
          <w:tcPr>
            <w:tcW w:w="2300" w:type="dxa"/>
          </w:tcPr>
          <w:p>
            <w:pPr/>
            <w:r>
              <w:t xml:space="preserve">TCP 直线运动，适合接近、加工、搬运直线段。</w:t>
            </w:r>
          </w:p>
        </w:tc>
        <w:tc>
          <w:tcPr>
            <w:tcW w:w="2300" w:type="dxa"/>
          </w:tcPr>
          <w:p>
            <w:pPr/>
            <w:r>
              <w:t xml:space="preserve">ABB MoveL / FANUC L / KUKA LIN</w:t>
            </w:r>
          </w:p>
        </w:tc>
      </w:tr>
      <w:tr>
        <w:tc>
          <w:tcPr>
            <w:tcW w:w="2300" w:type="dxa"/>
          </w:tcPr>
          <w:p>
            <w:pPr/>
            <w:r>
              <w:t xml:space="preserve">movec</w:t>
            </w:r>
          </w:p>
        </w:tc>
        <w:tc>
          <w:tcPr>
            <w:tcW w:w="2300" w:type="dxa"/>
          </w:tcPr>
          <w:p>
            <w:pPr/>
            <w:r>
              <w:t xml:space="preserve">movec via mid target arc_end speed v zone z10</w:t>
            </w:r>
          </w:p>
        </w:tc>
        <w:tc>
          <w:tcPr>
            <w:tcW w:w="2300" w:type="dxa"/>
          </w:tcPr>
          <w:p>
            <w:pPr/>
            <w:r>
              <w:t xml:space="preserve">TCP 圆弧运动，通过 via 点到终点。</w:t>
            </w:r>
          </w:p>
        </w:tc>
        <w:tc>
          <w:tcPr>
            <w:tcW w:w="2300" w:type="dxa"/>
          </w:tcPr>
          <w:p>
            <w:pPr/>
            <w:r>
              <w:t xml:space="preserve">ABB MoveC / FANUC C / KUKA CIRC</w:t>
            </w:r>
          </w:p>
        </w:tc>
      </w:tr>
      <w:tr>
        <w:tc>
          <w:tcPr>
            <w:tcW w:w="2300" w:type="dxa"/>
          </w:tcPr>
          <w:p>
            <w:pPr/>
            <w:r>
              <w:t xml:space="preserve">run_path</w:t>
            </w:r>
          </w:p>
        </w:tc>
        <w:tc>
          <w:tcPr>
            <w:tcW w:w="2300" w:type="dxa"/>
          </w:tcPr>
          <w:p>
            <w:pPr/>
            <w:r>
              <w:t xml:space="preserve">run_path cart_path</w:t>
            </w:r>
          </w:p>
        </w:tc>
        <w:tc>
          <w:tcPr>
            <w:tcW w:w="2300" w:type="dxa"/>
          </w:tcPr>
          <w:p>
            <w:pPr/>
            <w:r>
              <w:t xml:space="preserve">执行已声明路径。</w:t>
            </w:r>
          </w:p>
        </w:tc>
        <w:tc>
          <w:tcPr>
            <w:tcW w:w="2300" w:type="dxa"/>
          </w:tcPr>
          <w:p>
            <w:pPr/>
            <w:r>
              <w:t xml:space="preserve">可展开为品牌运动语句</w:t>
            </w:r>
          </w:p>
        </w:tc>
      </w:tr>
      <w:tr>
        <w:tc>
          <w:tcPr>
            <w:tcW w:w="2300" w:type="dxa"/>
          </w:tcPr>
          <w:p>
            <w:pPr/>
            <w:r>
              <w:t xml:space="preserve">run_operation</w:t>
            </w:r>
          </w:p>
        </w:tc>
        <w:tc>
          <w:tcPr>
            <w:tcW w:w="2300" w:type="dxa"/>
          </w:tcPr>
          <w:p>
            <w:pPr/>
            <w:r>
              <w:t xml:space="preserve">run_operation pick_op</w:t>
            </w:r>
          </w:p>
        </w:tc>
        <w:tc>
          <w:tcPr>
            <w:tcW w:w="2300" w:type="dxa"/>
          </w:tcPr>
          <w:p>
            <w:pPr/>
            <w:r>
              <w:t xml:space="preserve">执行工艺操作，包含 action 和 path。</w:t>
            </w:r>
          </w:p>
        </w:tc>
        <w:tc>
          <w:tcPr>
            <w:tcW w:w="2300" w:type="dxa"/>
          </w:tcPr>
          <w:p>
            <w:pPr/>
            <w:r>
              <w:t xml:space="preserve">按品牌能力展开或报告</w:t>
            </w:r>
          </w:p>
        </w:tc>
      </w:tr>
    </w:tbl>
    <w:p>
      <w:pPr>
        <w:pStyle w:val="BodyText"/>
      </w:pPr>
      <w:r>
        <w:t xml:space="preserve">下面是当前工作区中的笛卡尔混合路径示例，包含 tool/frame、表达式速度、zone clamp、MoveL、MoveC 和 run_path。</w:t>
      </w:r>
    </w:p>
    <w:p>
      <w:pPr>
        <w:pStyle w:val="Code"/>
      </w:pPr>
      <w:r>
        <w:t xml:space="preserve">language grl 0.1</w:t>
      </w:r>
    </w:p>
    <w:p>
      <w:pPr>
        <w:pStyle w:val="Code"/>
      </w:pPr>
      <w:r>
        <w:t xml:space="preserve">module A120CartesianBlend</w:t>
      </w:r>
    </w:p>
    <w:p>
      <w:pPr>
        <w:pStyle w:val="Code"/>
      </w:pPr>
      <w:r>
        <w:t xml:space="preserve">  persistent tool gripper = tool { tcp: pose(0 mm, 0 mm, 100 mm, 0 deg, 0 deg, 0 deg), mass: 1 kg }</w:t>
      </w:r>
    </w:p>
    <w:p>
      <w:pPr>
        <w:pStyle w:val="Code"/>
      </w:pPr>
      <w:r>
        <w:t xml:space="preserve">  persistent frame fixture = frame { origin: pose(800 mm, 0 mm, 0 mm, 0 deg, 0 deg, 0 deg) }</w:t>
      </w:r>
    </w:p>
    <w:p>
      <w:pPr>
        <w:pStyle w:val="Code"/>
      </w:pPr>
      <w:r>
        <w:t xml:space="preserve">  const speed v_linear = linear(100 + 50 mm/s)</w:t>
      </w:r>
    </w:p>
    <w:p>
      <w:pPr>
        <w:pStyle w:val="Code"/>
      </w:pPr>
      <w:r>
        <w:t xml:space="preserve">  const zone z10 = z(clamp(10 mm, 1 mm, 50 mm))</w:t>
      </w:r>
    </w:p>
    <w:p>
      <w:pPr>
        <w:pStyle w:val="Code"/>
      </w:pPr>
      <w:r>
        <w:t xml:space="preserve">  target pick = pose_target { pose: pose(500 mm, 0 mm, 0 mm, 0 deg, 0 deg, atan2(0, 1)), tool: gripper, frame: fixture }</w:t>
      </w:r>
    </w:p>
    <w:p>
      <w:pPr>
        <w:pStyle w:val="Code"/>
      </w:pPr>
      <w:r>
        <w:t xml:space="preserve">  target mid = pose_target { pose: pose(550 mm, 50 mm, 0 mm, 0 deg, 0 deg, 0 deg), tool: gripper, frame: fixture }</w:t>
      </w:r>
    </w:p>
    <w:p>
      <w:pPr>
        <w:pStyle w:val="Code"/>
      </w:pPr>
      <w:r>
        <w:t xml:space="preserve">  target arc_end = pose_target { pose: pose(600 mm, 0 mm, 0 mm, 0 deg, 0 deg, 0 deg), tool: gripper, frame: fixture }</w:t>
      </w:r>
    </w:p>
    <w:p>
      <w:pPr>
        <w:pStyle w:val="Code"/>
      </w:pPr>
      <w:r>
        <w:t xml:space="preserve">  path cart_path {</w:t>
      </w:r>
    </w:p>
    <w:p>
      <w:pPr>
        <w:pStyle w:val="Code"/>
      </w:pPr>
      <w:r>
        <w:t xml:space="preserve">    defaults { speed: v_linear, zone: z10, tool: gripper, frame: fixture }</w:t>
      </w:r>
    </w:p>
    <w:p>
      <w:pPr>
        <w:pStyle w:val="Code"/>
      </w:pPr>
      <w:r>
        <w:t xml:space="preserve">    point p_pick movel pick zone fine</w:t>
      </w:r>
    </w:p>
    <w:p>
      <w:pPr>
        <w:pStyle w:val="Code"/>
      </w:pPr>
      <w:r>
        <w:t xml:space="preserve">    point p_arc movec via mid target arc_end speed linear(max(50 mm/s, 150 mm/s)) zone z10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proc main()</w:t>
      </w:r>
    </w:p>
    <w:p>
      <w:pPr>
        <w:pStyle w:val="Code"/>
      </w:pPr>
      <w:r>
        <w:t xml:space="preserve">    set_tool gripper</w:t>
      </w:r>
    </w:p>
    <w:p>
      <w:pPr>
        <w:pStyle w:val="Code"/>
      </w:pPr>
      <w:r>
        <w:t xml:space="preserve">    set_frame fixture</w:t>
      </w:r>
    </w:p>
    <w:p>
      <w:pPr>
        <w:pStyle w:val="Code"/>
      </w:pPr>
      <w:r>
        <w:t xml:space="preserve">    run_path cart_path</w:t>
      </w:r>
    </w:p>
    <w:p>
      <w:pPr>
        <w:pStyle w:val="Code"/>
      </w:pPr>
      <w:r>
        <w:t xml:space="preserve">  end</w:t>
      </w:r>
    </w:p>
    <w:p>
      <w:pPr>
        <w:pStyle w:val="Code"/>
      </w:pPr>
      <w:r>
        <w:t xml:space="preserve">end</w:t>
      </w:r>
    </w:p>
    <w:p>
      <w:pPr>
        <w:pStyle w:val="Heading1"/>
      </w:pPr>
      <w:r>
        <w:t xml:space="preserve">七、Path 和 Operation</w:t>
      </w:r>
    </w:p>
    <w:p>
      <w:pPr>
        <w:pStyle w:val="BodyText"/>
      </w:pPr>
      <w:r>
        <w:t xml:space="preserve">Path 是离线编程的核心对象，适合承载 CAD 曲线、示教点、工艺采样点和路径事件。Operation 是对 Path 的工艺封装，适合表达搬运、焊接、喷涂、打磨、上下料等任务。</w:t>
      </w:r>
    </w:p>
    <w:tbl>
      <w:tblPr>
        <w:tblStyle w:val="TableGrid"/>
        <w:tblW w:w="0" w:type="auto"/>
        <w:tblLook w:val="04A0"/>
      </w:tblPr>
      <w:tr>
        <w:tc>
          <w:tcPr>
            <w:tcW w:w="4600" w:type="dxa"/>
          </w:tcPr>
          <w:p>
            <w:pPr>
              <w:pStyle w:val="TableHeader"/>
            </w:pPr>
            <w:r>
              <w:t xml:space="preserve">写法</w:t>
            </w:r>
          </w:p>
        </w:tc>
        <w:tc>
          <w:tcPr>
            <w:tcW w:w="4600" w:type="dxa"/>
          </w:tcPr>
          <w:p>
            <w:pPr>
              <w:pStyle w:val="TableHeader"/>
            </w:pPr>
            <w:r>
              <w:t xml:space="preserve">说明</w:t>
            </w:r>
          </w:p>
        </w:tc>
      </w:tr>
      <w:tr>
        <w:tc>
          <w:tcPr>
            <w:tcW w:w="4600" w:type="dxa"/>
          </w:tcPr>
          <w:p>
            <w:pPr/>
            <w:r>
              <w:t xml:space="preserve">defaults</w:t>
            </w:r>
          </w:p>
        </w:tc>
        <w:tc>
          <w:tcPr>
            <w:tcW w:w="4600" w:type="dxa"/>
          </w:tcPr>
          <w:p>
            <w:pPr/>
            <w:r>
              <w:t xml:space="preserve">为路径点设置默认 speed、zone、tool、frame，减少重复。</w:t>
            </w:r>
          </w:p>
        </w:tc>
      </w:tr>
      <w:tr>
        <w:tc>
          <w:tcPr>
            <w:tcW w:w="4600" w:type="dxa"/>
          </w:tcPr>
          <w:p>
            <w:pPr/>
            <w:r>
              <w:t xml:space="preserve">source</w:t>
            </w:r>
          </w:p>
        </w:tc>
        <w:tc>
          <w:tcPr>
            <w:tcW w:w="4600" w:type="dxa"/>
          </w:tcPr>
          <w:p>
            <w:pPr/>
            <w:r>
              <w:t xml:space="preserve">记录 CAD 曲线、采样间距、规划来源等元数据。</w:t>
            </w:r>
          </w:p>
        </w:tc>
      </w:tr>
      <w:tr>
        <w:tc>
          <w:tcPr>
            <w:tcW w:w="4600" w:type="dxa"/>
          </w:tcPr>
          <w:p>
            <w:pPr/>
            <w:r>
              <w:t xml:space="preserve">point</w:t>
            </w:r>
          </w:p>
        </w:tc>
        <w:tc>
          <w:tcPr>
            <w:tcW w:w="4600" w:type="dxa"/>
          </w:tcPr>
          <w:p>
            <w:pPr/>
            <w:r>
              <w:t xml:space="preserve">定义路径点和该点运动方式。</w:t>
            </w:r>
          </w:p>
        </w:tc>
      </w:tr>
      <w:tr>
        <w:tc>
          <w:tcPr>
            <w:tcW w:w="4600" w:type="dxa"/>
          </w:tcPr>
          <w:p>
            <w:pPr/>
            <w:r>
              <w:t xml:space="preserve">event before/after/at</w:t>
            </w:r>
          </w:p>
        </w:tc>
        <w:tc>
          <w:tcPr>
            <w:tcW w:w="4600" w:type="dxa"/>
          </w:tcPr>
          <w:p>
            <w:pPr/>
            <w:r>
              <w:t xml:space="preserve">定义路径事件，例如到点后开夹爪、距离某点前开焊接。</w:t>
            </w:r>
          </w:p>
        </w:tc>
      </w:tr>
      <w:tr>
        <w:tc>
          <w:tcPr>
            <w:tcW w:w="4600" w:type="dxa"/>
          </w:tcPr>
          <w:p>
            <w:pPr/>
            <w:r>
              <w:t xml:space="preserve">operation process</w:t>
            </w:r>
          </w:p>
        </w:tc>
        <w:tc>
          <w:tcPr>
            <w:tcW w:w="4600" w:type="dxa"/>
          </w:tcPr>
          <w:p>
            <w:pPr/>
            <w:r>
              <w:t xml:space="preserve">记录工艺参数，例如 gripper、weld_mode、paint_recipe。</w:t>
            </w:r>
          </w:p>
        </w:tc>
      </w:tr>
      <w:tr>
        <w:tc>
          <w:tcPr>
            <w:tcW w:w="4600" w:type="dxa"/>
          </w:tcPr>
          <w:p>
            <w:pPr/>
            <w:r>
              <w:t xml:space="preserve">start_action/end_action</w:t>
            </w:r>
          </w:p>
        </w:tc>
        <w:tc>
          <w:tcPr>
            <w:tcW w:w="4600" w:type="dxa"/>
          </w:tcPr>
          <w:p>
            <w:pPr/>
            <w:r>
              <w:t xml:space="preserve">操作开始或结束时执行 IO、wait、pulse 等动作。</w:t>
            </w:r>
          </w:p>
        </w:tc>
      </w:tr>
    </w:tbl>
    <w:p>
      <w:pPr>
        <w:pStyle w:val="Heading1"/>
      </w:pPr>
      <w:r>
        <w:t xml:space="preserve">八、IO、wait 和 pulse</w:t>
      </w:r>
    </w:p>
    <w:p>
      <w:pPr>
        <w:pStyle w:val="BodyText"/>
      </w:pPr>
      <w:r>
        <w:t xml:space="preserve">GRL 中的 IO 使用统一引用格式：io.di、io.do、io.ai、io.ao、io.gi、io.go、io.ri、io.ro 和 io.alias。离线系统运行时维护虚拟 IO 镜像，程序、用户和脚本都可以写入这份镜像。</w:t>
      </w:r>
    </w:p>
    <w:tbl>
      <w:tblPr>
        <w:tblStyle w:val="TableGrid"/>
        <w:tblW w:w="0" w:type="auto"/>
        <w:tblLook w:val="04A0"/>
      </w:tblPr>
      <w:tr>
        <w:tc>
          <w:tcPr>
            <w:tcW w:w="4600" w:type="dxa"/>
          </w:tcPr>
          <w:p>
            <w:pPr>
              <w:pStyle w:val="TableHeader"/>
            </w:pPr>
            <w:r>
              <w:t xml:space="preserve">语法</w:t>
            </w:r>
          </w:p>
        </w:tc>
        <w:tc>
          <w:tcPr>
            <w:tcW w:w="4600" w:type="dxa"/>
          </w:tcPr>
          <w:p>
            <w:pPr>
              <w:pStyle w:val="TableHeader"/>
            </w:pPr>
            <w:r>
              <w:t xml:space="preserve">含义</w:t>
            </w:r>
          </w:p>
        </w:tc>
      </w:tr>
      <w:tr>
        <w:tc>
          <w:tcPr>
            <w:tcW w:w="4600" w:type="dxa"/>
          </w:tcPr>
          <w:p>
            <w:pPr/>
            <w:r>
              <w:t xml:space="preserve">io.do[1] = true</w:t>
            </w:r>
          </w:p>
        </w:tc>
        <w:tc>
          <w:tcPr>
            <w:tcW w:w="4600" w:type="dxa"/>
          </w:tcPr>
          <w:p>
            <w:pPr/>
            <w:r>
              <w:t xml:space="preserve">写数字输出。</w:t>
            </w:r>
          </w:p>
        </w:tc>
      </w:tr>
      <w:tr>
        <w:tc>
          <w:tcPr>
            <w:tcW w:w="4600" w:type="dxa"/>
          </w:tcPr>
          <w:p>
            <w:pPr/>
            <w:r>
              <w:t xml:space="preserve">io.ao[1] = 0.75</w:t>
            </w:r>
          </w:p>
        </w:tc>
        <w:tc>
          <w:tcPr>
            <w:tcW w:w="4600" w:type="dxa"/>
          </w:tcPr>
          <w:p>
            <w:pPr/>
            <w:r>
              <w:t xml:space="preserve">写模拟输出。</w:t>
            </w:r>
          </w:p>
        </w:tc>
      </w:tr>
      <w:tr>
        <w:tc>
          <w:tcPr>
            <w:tcW w:w="4600" w:type="dxa"/>
          </w:tcPr>
          <w:p>
            <w:pPr/>
            <w:r>
              <w:t xml:space="preserve">wait io.di[1] == true timeout 2 s</w:t>
            </w:r>
          </w:p>
        </w:tc>
        <w:tc>
          <w:tcPr>
            <w:tcW w:w="4600" w:type="dxa"/>
          </w:tcPr>
          <w:p>
            <w:pPr/>
            <w:r>
              <w:t xml:space="preserve">等待输入满足条件，超时产生诊断或报警。</w:t>
            </w:r>
          </w:p>
        </w:tc>
      </w:tr>
      <w:tr>
        <w:tc>
          <w:tcPr>
            <w:tcW w:w="4600" w:type="dxa"/>
          </w:tcPr>
          <w:p>
            <w:pPr/>
            <w:r>
              <w:t xml:space="preserve">wait all(...)</w:t>
            </w:r>
          </w:p>
        </w:tc>
        <w:tc>
          <w:tcPr>
            <w:tcW w:w="4600" w:type="dxa"/>
          </w:tcPr>
          <w:p>
            <w:pPr/>
            <w:r>
              <w:t xml:space="preserve">所有条件满足才继续。</w:t>
            </w:r>
          </w:p>
        </w:tc>
      </w:tr>
      <w:tr>
        <w:tc>
          <w:tcPr>
            <w:tcW w:w="4600" w:type="dxa"/>
          </w:tcPr>
          <w:p>
            <w:pPr/>
            <w:r>
              <w:t xml:space="preserve">wait any(...)</w:t>
            </w:r>
          </w:p>
        </w:tc>
        <w:tc>
          <w:tcPr>
            <w:tcW w:w="4600" w:type="dxa"/>
          </w:tcPr>
          <w:p>
            <w:pPr/>
            <w:r>
              <w:t xml:space="preserve">任一条件满足即继续。</w:t>
            </w:r>
          </w:p>
        </w:tc>
      </w:tr>
      <w:tr>
        <w:tc>
          <w:tcPr>
            <w:tcW w:w="4600" w:type="dxa"/>
          </w:tcPr>
          <w:p>
            <w:pPr/>
            <w:r>
              <w:t xml:space="preserve">rising/falling/changed</w:t>
            </w:r>
          </w:p>
        </w:tc>
        <w:tc>
          <w:tcPr>
            <w:tcW w:w="4600" w:type="dxa"/>
          </w:tcPr>
          <w:p>
            <w:pPr/>
            <w:r>
              <w:t xml:space="preserve">边沿或变化检测。</w:t>
            </w:r>
          </w:p>
        </w:tc>
      </w:tr>
      <w:tr>
        <w:tc>
          <w:tcPr>
            <w:tcW w:w="4600" w:type="dxa"/>
          </w:tcPr>
          <w:p>
            <w:pPr/>
            <w:r>
              <w:t xml:space="preserve">pulse io.do[2] duration 100 ms</w:t>
            </w:r>
          </w:p>
        </w:tc>
        <w:tc>
          <w:tcPr>
            <w:tcW w:w="4600" w:type="dxa"/>
          </w:tcPr>
          <w:p>
            <w:pPr/>
            <w:r>
              <w:t xml:space="preserve">输出置 true，持续指定时间后自动复位。</w:t>
            </w:r>
          </w:p>
        </w:tc>
      </w:tr>
    </w:tbl>
    <w:p>
      <w:pPr>
        <w:pStyle w:val="Code"/>
      </w:pPr>
      <w:r>
        <w:t xml:space="preserve">language grl 0.1</w:t>
      </w:r>
    </w:p>
    <w:p>
      <w:pPr>
        <w:pStyle w:val="Code"/>
      </w:pPr>
      <w:r>
        <w:t xml:space="preserve">module W2IOWaitPulse</w:t>
      </w:r>
    </w:p>
    <w:p>
      <w:pPr>
        <w:pStyle w:val="Code"/>
      </w:pPr>
      <w:r>
        <w:t xml:space="preserve">  const speed v = joint(35 %)</w:t>
      </w:r>
    </w:p>
    <w:p>
      <w:pPr>
        <w:pStyle w:val="Code"/>
      </w:pPr>
      <w:r>
        <w:t xml:space="preserve">  const zone zf = fine</w:t>
      </w:r>
    </w:p>
    <w:p>
      <w:pPr>
        <w:pStyle w:val="Code"/>
      </w:pPr>
      <w:r>
        <w:t xml:space="preserve">  target home = joint_target { joints: [0 deg, 0 deg, 0 deg, 0 deg, 0 deg, 0 deg] }</w:t>
      </w:r>
    </w:p>
    <w:p>
      <w:pPr>
        <w:pStyle w:val="Code"/>
      </w:pPr>
      <w:r>
        <w:t xml:space="preserve">  path io_path {</w:t>
      </w:r>
    </w:p>
    <w:p>
      <w:pPr>
        <w:pStyle w:val="Code"/>
      </w:pPr>
      <w:r>
        <w:t xml:space="preserve">    defaults { speed: v, zone: zf }</w:t>
      </w:r>
    </w:p>
    <w:p>
      <w:pPr>
        <w:pStyle w:val="Code"/>
      </w:pPr>
      <w:r>
        <w:t xml:space="preserve">    point p0 movej home</w:t>
      </w:r>
    </w:p>
    <w:p>
      <w:pPr>
        <w:pStyle w:val="Code"/>
      </w:pPr>
      <w:r>
        <w:t xml:space="preserve">    event at p0 distance 5 + 5 mm pulse io.do[20] duration 50 + 50 ms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proc main()</w:t>
      </w:r>
    </w:p>
    <w:p>
      <w:pPr>
        <w:pStyle w:val="Code"/>
      </w:pPr>
      <w:r>
        <w:t xml:space="preserve">    io.do[1] = true</w:t>
      </w:r>
    </w:p>
    <w:p>
      <w:pPr>
        <w:pStyle w:val="Code"/>
      </w:pPr>
      <w:r>
        <w:t xml:space="preserve">    io.ao[1] = 0.75</w:t>
      </w:r>
    </w:p>
    <w:p>
      <w:pPr>
        <w:pStyle w:val="Code"/>
      </w:pPr>
      <w:r>
        <w:t xml:space="preserve">    io.go[1] = 3</w:t>
      </w:r>
    </w:p>
    <w:p>
      <w:pPr>
        <w:pStyle w:val="Code"/>
      </w:pPr>
      <w:r>
        <w:t xml:space="preserve">    wait all(io.di[1] == true, io.di[2] == false) timeout 1 s on_timeout alarm "all timeout"</w:t>
      </w:r>
    </w:p>
    <w:p>
      <w:pPr>
        <w:pStyle w:val="Code"/>
      </w:pPr>
      <w:r>
        <w:t xml:space="preserve">    wait any(io.di[3] == true, io.di[4] == true) timeout 1 s</w:t>
      </w:r>
    </w:p>
    <w:p>
      <w:pPr>
        <w:pStyle w:val="Code"/>
      </w:pPr>
      <w:r>
        <w:t xml:space="preserve">    wait rising(io.di[5]) timeout 1 s</w:t>
      </w:r>
    </w:p>
    <w:p>
      <w:pPr>
        <w:pStyle w:val="Code"/>
      </w:pPr>
      <w:r>
        <w:t xml:space="preserve">    wait falling(io.di[6]) timeout 1 s</w:t>
      </w:r>
    </w:p>
    <w:p>
      <w:pPr>
        <w:pStyle w:val="Code"/>
      </w:pPr>
      <w:r>
        <w:t xml:space="preserve">    wait changed(io.di[7]) timeout 1 s</w:t>
      </w:r>
    </w:p>
    <w:p>
      <w:pPr>
        <w:pStyle w:val="Code"/>
      </w:pPr>
      <w:r>
        <w:t xml:space="preserve">    pulse io.do[2] duration 50 + 50 ms</w:t>
      </w:r>
    </w:p>
    <w:p>
      <w:pPr>
        <w:pStyle w:val="Code"/>
      </w:pPr>
      <w:r>
        <w:t xml:space="preserve">    run_path io_path</w:t>
      </w:r>
    </w:p>
    <w:p>
      <w:pPr>
        <w:pStyle w:val="Code"/>
      </w:pPr>
      <w:r>
        <w:t xml:space="preserve">  end</w:t>
      </w:r>
    </w:p>
    <w:p>
      <w:pPr>
        <w:pStyle w:val="Code"/>
      </w:pPr>
      <w:r>
        <w:t xml:space="preserve">end</w:t>
      </w:r>
    </w:p>
    <w:p>
      <w:pPr>
        <w:pStyle w:val="Heading1"/>
      </w:pPr>
      <w:r>
        <w:t xml:space="preserve">九、流程控制、子程序和异常</w:t>
      </w:r>
    </w:p>
    <w:p>
      <w:pPr>
        <w:pStyle w:val="BodyText"/>
      </w:pPr>
      <w:r>
        <w:t xml:space="preserve">GRL 支持结构化控制和子程序。简单运行逻辑写在 proc 中，纯计算逻辑写在 func 中。func 默认不应产生运动、IO、wait、pulse 等副作用。</w:t>
      </w:r>
    </w:p>
    <w:tbl>
      <w:tblPr>
        <w:tblStyle w:val="TableGrid"/>
        <w:tblW w:w="0" w:type="auto"/>
        <w:tblLook w:val="04A0"/>
      </w:tblPr>
      <w:tr>
        <w:tc>
          <w:tcPr>
            <w:tcW w:w="3066" w:type="dxa"/>
          </w:tcPr>
          <w:p>
            <w:pPr>
              <w:pStyle w:val="TableHeader"/>
            </w:pPr>
            <w:r>
              <w:t xml:space="preserve">能力</w:t>
            </w:r>
          </w:p>
        </w:tc>
        <w:tc>
          <w:tcPr>
            <w:tcW w:w="3066" w:type="dxa"/>
          </w:tcPr>
          <w:p>
            <w:pPr>
              <w:pStyle w:val="TableHeader"/>
            </w:pPr>
            <w:r>
              <w:t xml:space="preserve">语法</w:t>
            </w:r>
          </w:p>
        </w:tc>
        <w:tc>
          <w:tcPr>
            <w:tcW w:w="3066" w:type="dxa"/>
          </w:tcPr>
          <w:p>
            <w:pPr>
              <w:pStyle w:val="TableHeader"/>
            </w:pPr>
            <w:r>
              <w:t xml:space="preserve">说明</w:t>
            </w:r>
          </w:p>
        </w:tc>
      </w:tr>
      <w:tr>
        <w:tc>
          <w:tcPr>
            <w:tcW w:w="3066" w:type="dxa"/>
          </w:tcPr>
          <w:p>
            <w:pPr/>
            <w:r>
              <w:t xml:space="preserve">条件</w:t>
            </w:r>
          </w:p>
        </w:tc>
        <w:tc>
          <w:tcPr>
            <w:tcW w:w="3066" w:type="dxa"/>
          </w:tcPr>
          <w:p>
            <w:pPr/>
            <w:r>
              <w:t xml:space="preserve">if / elseif / else / end</w:t>
            </w:r>
          </w:p>
        </w:tc>
        <w:tc>
          <w:tcPr>
            <w:tcW w:w="3066" w:type="dxa"/>
          </w:tcPr>
          <w:p>
            <w:pPr/>
            <w:r>
              <w:t xml:space="preserve">按布尔条件选择执行分支。</w:t>
            </w:r>
          </w:p>
        </w:tc>
      </w:tr>
      <w:tr>
        <w:tc>
          <w:tcPr>
            <w:tcW w:w="3066" w:type="dxa"/>
          </w:tcPr>
          <w:p>
            <w:pPr/>
            <w:r>
              <w:t xml:space="preserve">循环</w:t>
            </w:r>
          </w:p>
        </w:tc>
        <w:tc>
          <w:tcPr>
            <w:tcW w:w="3066" w:type="dxa"/>
          </w:tcPr>
          <w:p>
            <w:pPr/>
            <w:r>
              <w:t xml:space="preserve">while、for to step</w:t>
            </w:r>
          </w:p>
        </w:tc>
        <w:tc>
          <w:tcPr>
            <w:tcW w:w="3066" w:type="dxa"/>
          </w:tcPr>
          <w:p>
            <w:pPr/>
            <w:r>
              <w:t xml:space="preserve">执行重复逻辑，break/continue 必须处于合法块内。</w:t>
            </w:r>
          </w:p>
        </w:tc>
      </w:tr>
      <w:tr>
        <w:tc>
          <w:tcPr>
            <w:tcW w:w="3066" w:type="dxa"/>
          </w:tcPr>
          <w:p>
            <w:pPr/>
            <w:r>
              <w:t xml:space="preserve">多分支</w:t>
            </w:r>
          </w:p>
        </w:tc>
        <w:tc>
          <w:tcPr>
            <w:tcW w:w="3066" w:type="dxa"/>
          </w:tcPr>
          <w:p>
            <w:pPr/>
            <w:r>
              <w:t xml:space="preserve">switch / case / default</w:t>
            </w:r>
          </w:p>
        </w:tc>
        <w:tc>
          <w:tcPr>
            <w:tcW w:w="3066" w:type="dxa"/>
          </w:tcPr>
          <w:p>
            <w:pPr/>
            <w:r>
              <w:t xml:space="preserve">case 必须是常量表达式，不能重复。</w:t>
            </w:r>
          </w:p>
        </w:tc>
      </w:tr>
      <w:tr>
        <w:tc>
          <w:tcPr>
            <w:tcW w:w="3066" w:type="dxa"/>
          </w:tcPr>
          <w:p>
            <w:pPr/>
            <w:r>
              <w:t xml:space="preserve">子程序</w:t>
            </w:r>
          </w:p>
        </w:tc>
        <w:tc>
          <w:tcPr>
            <w:tcW w:w="3066" w:type="dxa"/>
          </w:tcPr>
          <w:p>
            <w:pPr/>
            <w:r>
              <w:t xml:space="preserve">proc name(in int slot) ... end</w:t>
            </w:r>
          </w:p>
        </w:tc>
        <w:tc>
          <w:tcPr>
            <w:tcW w:w="3066" w:type="dxa"/>
          </w:tcPr>
          <w:p>
            <w:pPr/>
            <w:r>
              <w:t xml:space="preserve">可定义 in/out/inout 参数。</w:t>
            </w:r>
          </w:p>
        </w:tc>
      </w:tr>
      <w:tr>
        <w:tc>
          <w:tcPr>
            <w:tcW w:w="3066" w:type="dxa"/>
          </w:tcPr>
          <w:p>
            <w:pPr/>
            <w:r>
              <w:t xml:space="preserve">函数</w:t>
            </w:r>
          </w:p>
        </w:tc>
        <w:tc>
          <w:tcPr>
            <w:tcW w:w="3066" w:type="dxa"/>
          </w:tcPr>
          <w:p>
            <w:pPr/>
            <w:r>
              <w:t xml:space="preserve">func bool ok() return ... end</w:t>
            </w:r>
          </w:p>
        </w:tc>
        <w:tc>
          <w:tcPr>
            <w:tcW w:w="3066" w:type="dxa"/>
          </w:tcPr>
          <w:p>
            <w:pPr/>
            <w:r>
              <w:t xml:space="preserve">有返回值，建议无副作用。</w:t>
            </w:r>
          </w:p>
        </w:tc>
      </w:tr>
      <w:tr>
        <w:tc>
          <w:tcPr>
            <w:tcW w:w="3066" w:type="dxa"/>
          </w:tcPr>
          <w:p>
            <w:pPr/>
            <w:r>
              <w:t xml:space="preserve">报警</w:t>
            </w:r>
          </w:p>
        </w:tc>
        <w:tc>
          <w:tcPr>
            <w:tcW w:w="3066" w:type="dxa"/>
          </w:tcPr>
          <w:p>
            <w:pPr/>
            <w:r>
              <w:t xml:space="preserve">alarm ID "message" severity warning</w:t>
            </w:r>
          </w:p>
        </w:tc>
        <w:tc>
          <w:tcPr>
            <w:tcW w:w="3066" w:type="dxa"/>
          </w:tcPr>
          <w:p>
            <w:pPr/>
            <w:r>
              <w:t xml:space="preserve">进入虚拟控制器报警队列。</w:t>
            </w:r>
          </w:p>
        </w:tc>
      </w:tr>
      <w:tr>
        <w:tc>
          <w:tcPr>
            <w:tcW w:w="3066" w:type="dxa"/>
          </w:tcPr>
          <w:p>
            <w:pPr/>
            <w:r>
              <w:t xml:space="preserve">异常</w:t>
            </w:r>
          </w:p>
        </w:tc>
        <w:tc>
          <w:tcPr>
            <w:tcW w:w="3066" w:type="dxa"/>
          </w:tcPr>
          <w:p>
            <w:pPr/>
            <w:r>
              <w:t xml:space="preserve">raise、try/catch/finally</w:t>
            </w:r>
          </w:p>
        </w:tc>
        <w:tc>
          <w:tcPr>
            <w:tcW w:w="3066" w:type="dxa"/>
          </w:tcPr>
          <w:p>
            <w:pPr/>
            <w:r>
              <w:t xml:space="preserve">P0 支持基础语义，复杂品牌恢复分阶段扩展。</w:t>
            </w:r>
          </w:p>
        </w:tc>
      </w:tr>
    </w:tbl>
    <w:p>
      <w:pPr>
        <w:pStyle w:val="Heading1"/>
      </w:pPr>
      <w:r>
        <w:t xml:space="preserve">十、从零创建一个 GRL 程序</w:t>
      </w:r>
    </w:p>
    <w:p>
      <w:pPr>
        <w:pStyle w:val="BodyText"/>
      </w:pPr>
      <w:r>
        <w:t xml:space="preserve">建议按以下顺序创建程序。先保证数据和坐标清楚，再组织路径和工艺，最后在 main 中调用。</w:t>
      </w:r>
    </w:p>
    <w:tbl>
      <w:tblPr>
        <w:tblStyle w:val="TableGrid"/>
        <w:tblW w:w="0" w:type="auto"/>
        <w:tblLook w:val="04A0"/>
      </w:tblPr>
      <w:tr>
        <w:tc>
          <w:tcPr>
            <w:tcW w:w="3066" w:type="dxa"/>
          </w:tcPr>
          <w:p>
            <w:pPr>
              <w:pStyle w:val="TableHeader"/>
            </w:pPr>
            <w:r>
              <w:t xml:space="preserve">步骤</w:t>
            </w:r>
          </w:p>
        </w:tc>
        <w:tc>
          <w:tcPr>
            <w:tcW w:w="3066" w:type="dxa"/>
          </w:tcPr>
          <w:p>
            <w:pPr>
              <w:pStyle w:val="TableHeader"/>
            </w:pPr>
            <w:r>
              <w:t xml:space="preserve">操作</w:t>
            </w:r>
          </w:p>
        </w:tc>
        <w:tc>
          <w:tcPr>
            <w:tcW w:w="3066" w:type="dxa"/>
          </w:tcPr>
          <w:p>
            <w:pPr>
              <w:pStyle w:val="TableHeader"/>
            </w:pPr>
            <w:r>
              <w:t xml:space="preserve">检查点</w:t>
            </w:r>
          </w:p>
        </w:tc>
      </w:tr>
      <w:tr>
        <w:tc>
          <w:tcPr>
            <w:tcW w:w="3066" w:type="dxa"/>
          </w:tcPr>
          <w:p>
            <w:pPr/>
            <w:r>
              <w:t xml:space="preserve">1</w:t>
            </w:r>
          </w:p>
        </w:tc>
        <w:tc>
          <w:tcPr>
            <w:tcW w:w="3066" w:type="dxa"/>
          </w:tcPr>
          <w:p>
            <w:pPr/>
            <w:r>
              <w:t xml:space="preserve">创建 .grl 文件，写 language 和 module。</w:t>
            </w:r>
          </w:p>
        </w:tc>
        <w:tc>
          <w:tcPr>
            <w:tcW w:w="3066" w:type="dxa"/>
          </w:tcPr>
          <w:p>
            <w:pPr/>
            <w:r>
              <w:t xml:space="preserve">模块名使用 ASCII 标识符，文件 UTF-8。</w:t>
            </w:r>
          </w:p>
        </w:tc>
      </w:tr>
      <w:tr>
        <w:tc>
          <w:tcPr>
            <w:tcW w:w="3066" w:type="dxa"/>
          </w:tcPr>
          <w:p>
            <w:pPr/>
            <w:r>
              <w:t xml:space="preserve">2</w:t>
            </w:r>
          </w:p>
        </w:tc>
        <w:tc>
          <w:tcPr>
            <w:tcW w:w="3066" w:type="dxa"/>
          </w:tcPr>
          <w:p>
            <w:pPr/>
            <w:r>
              <w:t xml:space="preserve">声明 tool 和 frame。</w:t>
            </w:r>
          </w:p>
        </w:tc>
        <w:tc>
          <w:tcPr>
            <w:tcW w:w="3066" w:type="dxa"/>
          </w:tcPr>
          <w:p>
            <w:pPr/>
            <w:r>
              <w:t xml:space="preserve">TCP、质量、工件坐标单位明确。</w:t>
            </w:r>
          </w:p>
        </w:tc>
      </w:tr>
      <w:tr>
        <w:tc>
          <w:tcPr>
            <w:tcW w:w="3066" w:type="dxa"/>
          </w:tcPr>
          <w:p>
            <w:pPr/>
            <w:r>
              <w:t xml:space="preserve">3</w:t>
            </w:r>
          </w:p>
        </w:tc>
        <w:tc>
          <w:tcPr>
            <w:tcW w:w="3066" w:type="dxa"/>
          </w:tcPr>
          <w:p>
            <w:pPr/>
            <w:r>
              <w:t xml:space="preserve">声明 speed 和 zone。</w:t>
            </w:r>
          </w:p>
        </w:tc>
        <w:tc>
          <w:tcPr>
            <w:tcW w:w="3066" w:type="dxa"/>
          </w:tcPr>
          <w:p>
            <w:pPr/>
            <w:r>
              <w:t xml:space="preserve">速度和过渡统一命名，例如 v_fast、v_pick、z10。</w:t>
            </w:r>
          </w:p>
        </w:tc>
      </w:tr>
      <w:tr>
        <w:tc>
          <w:tcPr>
            <w:tcW w:w="3066" w:type="dxa"/>
          </w:tcPr>
          <w:p>
            <w:pPr/>
            <w:r>
              <w:t xml:space="preserve">4</w:t>
            </w:r>
          </w:p>
        </w:tc>
        <w:tc>
          <w:tcPr>
            <w:tcW w:w="3066" w:type="dxa"/>
          </w:tcPr>
          <w:p>
            <w:pPr/>
            <w:r>
              <w:t xml:space="preserve">声明 target。</w:t>
            </w:r>
          </w:p>
        </w:tc>
        <w:tc>
          <w:tcPr>
            <w:tcW w:w="3066" w:type="dxa"/>
          </w:tcPr>
          <w:p>
            <w:pPr/>
            <w:r>
              <w:t xml:space="preserve">home 用 joint_target，工艺点用 pose_target。</w:t>
            </w:r>
          </w:p>
        </w:tc>
      </w:tr>
      <w:tr>
        <w:tc>
          <w:tcPr>
            <w:tcW w:w="3066" w:type="dxa"/>
          </w:tcPr>
          <w:p>
            <w:pPr/>
            <w:r>
              <w:t xml:space="preserve">5</w:t>
            </w:r>
          </w:p>
        </w:tc>
        <w:tc>
          <w:tcPr>
            <w:tcW w:w="3066" w:type="dxa"/>
          </w:tcPr>
          <w:p>
            <w:pPr/>
            <w:r>
              <w:t xml:space="preserve">创建 path。</w:t>
            </w:r>
          </w:p>
        </w:tc>
        <w:tc>
          <w:tcPr>
            <w:tcW w:w="3066" w:type="dxa"/>
          </w:tcPr>
          <w:p>
            <w:pPr/>
            <w:r>
              <w:t xml:space="preserve">设置 defaults，点名按 p000/p001 或语义名称稳定输出。</w:t>
            </w:r>
          </w:p>
        </w:tc>
      </w:tr>
      <w:tr>
        <w:tc>
          <w:tcPr>
            <w:tcW w:w="3066" w:type="dxa"/>
          </w:tcPr>
          <w:p>
            <w:pPr/>
            <w:r>
              <w:t xml:space="preserve">6</w:t>
            </w:r>
          </w:p>
        </w:tc>
        <w:tc>
          <w:tcPr>
            <w:tcW w:w="3066" w:type="dxa"/>
          </w:tcPr>
          <w:p>
            <w:pPr/>
            <w:r>
              <w:t xml:space="preserve">添加 path event 或 operation action。</w:t>
            </w:r>
          </w:p>
        </w:tc>
        <w:tc>
          <w:tcPr>
            <w:tcW w:w="3066" w:type="dxa"/>
          </w:tcPr>
          <w:p>
            <w:pPr/>
            <w:r>
              <w:t xml:space="preserve">夹具、等待、脉冲、工艺开关不要散落在 main 中。</w:t>
            </w:r>
          </w:p>
        </w:tc>
      </w:tr>
      <w:tr>
        <w:tc>
          <w:tcPr>
            <w:tcW w:w="3066" w:type="dxa"/>
          </w:tcPr>
          <w:p>
            <w:pPr/>
            <w:r>
              <w:t xml:space="preserve">7</w:t>
            </w:r>
          </w:p>
        </w:tc>
        <w:tc>
          <w:tcPr>
            <w:tcW w:w="3066" w:type="dxa"/>
          </w:tcPr>
          <w:p>
            <w:pPr/>
            <w:r>
              <w:t xml:space="preserve">创建 operation。</w:t>
            </w:r>
          </w:p>
        </w:tc>
        <w:tc>
          <w:tcPr>
            <w:tcW w:w="3066" w:type="dxa"/>
          </w:tcPr>
          <w:p>
            <w:pPr/>
            <w:r>
              <w:t xml:space="preserve">把 path 和工艺参数封装成可复用操作。</w:t>
            </w:r>
          </w:p>
        </w:tc>
      </w:tr>
      <w:tr>
        <w:tc>
          <w:tcPr>
            <w:tcW w:w="3066" w:type="dxa"/>
          </w:tcPr>
          <w:p>
            <w:pPr/>
            <w:r>
              <w:t xml:space="preserve">8</w:t>
            </w:r>
          </w:p>
        </w:tc>
        <w:tc>
          <w:tcPr>
            <w:tcW w:w="3066" w:type="dxa"/>
          </w:tcPr>
          <w:p>
            <w:pPr/>
            <w:r>
              <w:t xml:space="preserve">编写 proc main。</w:t>
            </w:r>
          </w:p>
        </w:tc>
        <w:tc>
          <w:tcPr>
            <w:tcW w:w="3066" w:type="dxa"/>
          </w:tcPr>
          <w:p>
            <w:pPr/>
            <w:r>
              <w:t xml:space="preserve">只做 set_tool/set_frame、run_operation、回 home 等主流程。</w:t>
            </w:r>
          </w:p>
        </w:tc>
      </w:tr>
      <w:tr>
        <w:tc>
          <w:tcPr>
            <w:tcW w:w="3066" w:type="dxa"/>
          </w:tcPr>
          <w:p>
            <w:pPr/>
            <w:r>
              <w:t xml:space="preserve">9</w:t>
            </w:r>
          </w:p>
        </w:tc>
        <w:tc>
          <w:tcPr>
            <w:tcW w:w="3066" w:type="dxa"/>
          </w:tcPr>
          <w:p>
            <w:pPr/>
            <w:r>
              <w:t xml:space="preserve">运行编译和测试。</w:t>
            </w:r>
          </w:p>
        </w:tc>
        <w:tc>
          <w:tcPr>
            <w:tcW w:w="3066" w:type="dxa"/>
          </w:tcPr>
          <w:p>
            <w:pPr/>
            <w:r>
              <w:t xml:space="preserve">执行 npm test 或 suite，检查 diagnostics、trace、motion queue。</w:t>
            </w:r>
          </w:p>
        </w:tc>
      </w:tr>
      <w:tr>
        <w:tc>
          <w:tcPr>
            <w:tcW w:w="3066" w:type="dxa"/>
          </w:tcPr>
          <w:p>
            <w:pPr/>
            <w:r>
              <w:t xml:space="preserve">10</w:t>
            </w:r>
          </w:p>
        </w:tc>
        <w:tc>
          <w:tcPr>
            <w:tcW w:w="3066" w:type="dxa"/>
          </w:tcPr>
          <w:p>
            <w:pPr/>
            <w:r>
              <w:t xml:space="preserve">后处理输出。</w:t>
            </w:r>
          </w:p>
        </w:tc>
        <w:tc>
          <w:tcPr>
            <w:tcW w:w="3066" w:type="dxa"/>
          </w:tcPr>
          <w:p>
            <w:pPr/>
            <w:r>
              <w:t xml:space="preserve">检查 ABB/FANUC/KUKA 转换报告，不支持项不能忽略。</w:t>
            </w:r>
          </w:p>
        </w:tc>
      </w:tr>
    </w:tbl>
    <w:p>
      <w:pPr>
        <w:pStyle w:val="Heading1"/>
      </w:pPr>
      <w:r>
        <w:t xml:space="preserve">十一、完整程序模板</w:t>
      </w:r>
    </w:p>
    <w:p>
      <w:pPr>
        <w:pStyle w:val="BodyText"/>
      </w:pPr>
      <w:r>
        <w:t xml:space="preserve">下面给出一个可直接改写的模板，适合搬运、上下料、夹具动作和基础路径。</w:t>
      </w:r>
    </w:p>
    <w:p>
      <w:pPr>
        <w:pStyle w:val="Code"/>
      </w:pPr>
      <w:r>
        <w:t xml:space="preserve">language grl 0.1</w:t>
      </w:r>
    </w:p>
    <w:p>
      <w:pPr>
        <w:pStyle w:val="Code"/>
      </w:pPr>
      <w:r>
        <w:t xml:space="preserve">module DemoPickPlace</w:t>
      </w:r>
    </w:p>
    <w:p>
      <w:pPr>
        <w:pStyle w:val="Code"/>
      </w:pPr>
      <w:r>
        <w:t xml:space="preserve">  persistent tool gripper = tool {</w:t>
      </w:r>
    </w:p>
    <w:p>
      <w:pPr>
        <w:pStyle w:val="Code"/>
      </w:pPr>
      <w:r>
        <w:t xml:space="preserve">    tcp: pose(0 mm, 0 mm, 120 mm, 0 deg, 0 deg, 0 deg),</w:t>
      </w:r>
    </w:p>
    <w:p>
      <w:pPr>
        <w:pStyle w:val="Code"/>
      </w:pPr>
      <w:r>
        <w:t xml:space="preserve">    mass: 1.5 kg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</w:t>
      </w:r>
    </w:p>
    <w:p>
      <w:pPr>
        <w:pStyle w:val="Code"/>
      </w:pPr>
      <w:r>
        <w:t xml:space="preserve">  persistent frame fixture = frame {</w:t>
      </w:r>
    </w:p>
    <w:p>
      <w:pPr>
        <w:pStyle w:val="Code"/>
      </w:pPr>
      <w:r>
        <w:t xml:space="preserve">    origin: pose(800 mm, 0 mm, 0 mm, 0 deg, 0 deg, 0 deg)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</w:t>
      </w:r>
    </w:p>
    <w:p>
      <w:pPr>
        <w:pStyle w:val="Code"/>
      </w:pPr>
      <w:r>
        <w:t xml:space="preserve">  const speed v_joint = joint(50 %)</w:t>
      </w:r>
    </w:p>
    <w:p>
      <w:pPr>
        <w:pStyle w:val="Code"/>
      </w:pPr>
      <w:r>
        <w:t xml:space="preserve">  const speed v_pick = linear(250 mm/s)</w:t>
      </w:r>
    </w:p>
    <w:p>
      <w:pPr>
        <w:pStyle w:val="Code"/>
      </w:pPr>
      <w:r>
        <w:t xml:space="preserve">  const zone z10 = z(10 mm)</w:t>
      </w:r>
    </w:p>
    <w:p>
      <w:pPr>
        <w:pStyle w:val="Code"/>
      </w:pPr>
      <w:r>
        <w:t xml:space="preserve">  const zone zf = fine</w:t>
      </w:r>
    </w:p>
    <w:p>
      <w:pPr>
        <w:pStyle w:val="Code"/>
      </w:pPr>
      <w:r>
        <w:t xml:space="preserve"> </w:t>
      </w:r>
    </w:p>
    <w:p>
      <w:pPr>
        <w:pStyle w:val="Code"/>
      </w:pPr>
      <w:r>
        <w:t xml:space="preserve">  target home = joint_target { joints: [0 deg, 0 deg, 0 deg, 0 deg, 0 deg, 0 deg] }</w:t>
      </w:r>
    </w:p>
    <w:p>
      <w:pPr>
        <w:pStyle w:val="Code"/>
      </w:pPr>
      <w:r>
        <w:t xml:space="preserve">  target pick = pose_target { pose: pose(500 mm, 100 mm, 200 mm, 180 deg, 0 deg, 90 deg), tool: gripper, frame: fixture }</w:t>
      </w:r>
    </w:p>
    <w:p>
      <w:pPr>
        <w:pStyle w:val="Code"/>
      </w:pPr>
      <w:r>
        <w:t xml:space="preserve">  target place = pose_target { pose: pose(650 mm, -100 mm, 200 mm, 180 deg, 0 deg, 90 deg), tool: gripper, frame: fixture }</w:t>
      </w:r>
    </w:p>
    <w:p>
      <w:pPr>
        <w:pStyle w:val="Code"/>
      </w:pPr>
      <w:r>
        <w:t xml:space="preserve"> </w:t>
      </w:r>
    </w:p>
    <w:p>
      <w:pPr>
        <w:pStyle w:val="Code"/>
      </w:pPr>
      <w:r>
        <w:t xml:space="preserve">  path pick_path {</w:t>
      </w:r>
    </w:p>
    <w:p>
      <w:pPr>
        <w:pStyle w:val="Code"/>
      </w:pPr>
      <w:r>
        <w:t xml:space="preserve">    defaults { speed: v_pick, zone: z10, tool: gripper, frame: fixture }</w:t>
      </w:r>
    </w:p>
    <w:p>
      <w:pPr>
        <w:pStyle w:val="Code"/>
      </w:pPr>
      <w:r>
        <w:t xml:space="preserve">    point approach movel pick offset z 100 mm</w:t>
      </w:r>
    </w:p>
    <w:p>
      <w:pPr>
        <w:pStyle w:val="Code"/>
      </w:pPr>
      <w:r>
        <w:t xml:space="preserve">    point at_pick movel pick zone zf</w:t>
      </w:r>
    </w:p>
    <w:p>
      <w:pPr>
        <w:pStyle w:val="Code"/>
      </w:pPr>
      <w:r>
        <w:t xml:space="preserve">    event after at_pick io.do[1] = true</w:t>
      </w:r>
    </w:p>
    <w:p>
      <w:pPr>
        <w:pStyle w:val="Code"/>
      </w:pPr>
      <w:r>
        <w:t xml:space="preserve">    event after at_pick wait io.di[1] == true timeout 2 s on_timeout alarm "Clamp close timeout"</w:t>
      </w:r>
    </w:p>
    <w:p>
      <w:pPr>
        <w:pStyle w:val="Code"/>
      </w:pPr>
      <w:r>
        <w:t xml:space="preserve">    point leave movel pick offset z 100 mm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</w:t>
      </w:r>
    </w:p>
    <w:p>
      <w:pPr>
        <w:pStyle w:val="Code"/>
      </w:pPr>
      <w:r>
        <w:t xml:space="preserve">  operation pick_op {</w:t>
      </w:r>
    </w:p>
    <w:p>
      <w:pPr>
        <w:pStyle w:val="Code"/>
      </w:pPr>
      <w:r>
        <w:t xml:space="preserve">    kind: handling</w:t>
      </w:r>
    </w:p>
    <w:p>
      <w:pPr>
        <w:pStyle w:val="Code"/>
      </w:pPr>
      <w:r>
        <w:t xml:space="preserve">    path: pick_path</w:t>
      </w:r>
    </w:p>
    <w:p>
      <w:pPr>
        <w:pStyle w:val="Code"/>
      </w:pPr>
      <w:r>
        <w:t xml:space="preserve">    process { gripper: "main_clamp" }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</w:t>
      </w:r>
    </w:p>
    <w:p>
      <w:pPr>
        <w:pStyle w:val="Code"/>
      </w:pPr>
      <w:r>
        <w:t xml:space="preserve">  proc main()</w:t>
      </w:r>
    </w:p>
    <w:p>
      <w:pPr>
        <w:pStyle w:val="Code"/>
      </w:pPr>
      <w:r>
        <w:t xml:space="preserve">    set_tool gripper</w:t>
      </w:r>
    </w:p>
    <w:p>
      <w:pPr>
        <w:pStyle w:val="Code"/>
      </w:pPr>
      <w:r>
        <w:t xml:space="preserve">    set_frame fixture</w:t>
      </w:r>
    </w:p>
    <w:p>
      <w:pPr>
        <w:pStyle w:val="Code"/>
      </w:pPr>
      <w:r>
        <w:t xml:space="preserve">    movej home speed v_joint zone zf</w:t>
      </w:r>
    </w:p>
    <w:p>
      <w:pPr>
        <w:pStyle w:val="Code"/>
      </w:pPr>
      <w:r>
        <w:t xml:space="preserve">    run_operation pick_op</w:t>
      </w:r>
    </w:p>
    <w:p>
      <w:pPr>
        <w:pStyle w:val="Code"/>
      </w:pPr>
      <w:r>
        <w:t xml:space="preserve">    movej home speed v_joint zone zf</w:t>
      </w:r>
    </w:p>
    <w:p>
      <w:pPr>
        <w:pStyle w:val="Code"/>
      </w:pPr>
      <w:r>
        <w:t xml:space="preserve">  end</w:t>
      </w:r>
    </w:p>
    <w:p>
      <w:pPr>
        <w:pStyle w:val="Code"/>
      </w:pPr>
      <w:r>
        <w:t xml:space="preserve">end</w:t>
      </w:r>
    </w:p>
    <w:p>
      <w:pPr>
        <w:pStyle w:val="Heading1"/>
      </w:pPr>
      <w:r>
        <w:t xml:space="preserve">十二、编译、仿真和截图验证</w:t>
      </w:r>
    </w:p>
    <w:p>
      <w:pPr>
        <w:jc w:val="center"/>
      </w:pPr>
      <w:r>
        <w:drawing>
          <wp:inline distT="0" distB="0" distL="0" distR="0">
            <wp:extent cx="5943600" cy="3343275"/>
            <wp:effectExtent l="0" t="0" r="0" b="0"/>
            <wp:docPr id="4" name="虚拟控制器执行流程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-04.png"/>
                    <pic:cNvPicPr/>
                  </pic:nvPicPr>
                  <pic:blipFill>
                    <a:blip r:embed="rId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 xml:space="preserve">图 4 虚拟控制器执行流程图</w:t>
      </w:r>
    </w:p>
    <w:p>
      <w:pPr>
        <w:pStyle w:val="BodyText"/>
      </w:pPr>
      <w:r>
        <w:t xml:space="preserve">编译后，虚拟控制器会加载 IR，从 main 开始执行，采集运行 trace、motion queue、IO image、报警队列和诊断。桌面端和移动端界面可用于检查程序结构、状态、编辑器、面板和运行结果。</w:t>
      </w:r>
    </w:p>
    <w:p>
      <w:pPr>
        <w:jc w:val="center"/>
      </w:pPr>
      <w:r>
        <w:drawing>
          <wp:inline distT="0" distB="0" distL="0" distR="0">
            <wp:extent cx="5943600" cy="3962400"/>
            <wp:effectExtent l="0" t="0" r="0" b="0"/>
            <wp:docPr id="6" name="虚拟控制器桌面端界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-06.png"/>
                    <pic:cNvPicPr/>
                  </pic:nvPicPr>
                  <pic:blipFill>
                    <a:blip r:embed="rIdImage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 xml:space="preserve">图 5 虚拟控制器桌面端界面</w:t>
      </w:r>
    </w:p>
    <w:p>
      <w:pPr>
        <w:jc w:val="center"/>
      </w:pPr>
      <w:r>
        <w:drawing>
          <wp:inline distT="0" distB="0" distL="0" distR="0">
            <wp:extent cx="2743200" cy="5943600"/>
            <wp:effectExtent l="0" t="0" r="0" b="0"/>
            <wp:docPr id="7" name="虚拟控制器移动端界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-07.png"/>
                    <pic:cNvPicPr/>
                  </pic:nvPicPr>
                  <pic:blipFill>
                    <a:blip r:embed="rIdImage7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 xml:space="preserve">图 6 虚拟控制器移动端界面</w:t>
      </w:r>
    </w:p>
    <w:tbl>
      <w:tblPr>
        <w:tblStyle w:val="TableGrid"/>
        <w:tblW w:w="0" w:type="auto"/>
        <w:tblLook w:val="04A0"/>
      </w:tblPr>
      <w:tr>
        <w:tc>
          <w:tcPr>
            <w:tcW w:w="4600" w:type="dxa"/>
          </w:tcPr>
          <w:p>
            <w:pPr>
              <w:pStyle w:val="TableHeader"/>
            </w:pPr>
            <w:r>
              <w:t xml:space="preserve">命令</w:t>
            </w:r>
          </w:p>
        </w:tc>
        <w:tc>
          <w:tcPr>
            <w:tcW w:w="4600" w:type="dxa"/>
          </w:tcPr>
          <w:p>
            <w:pPr>
              <w:pStyle w:val="TableHeader"/>
            </w:pPr>
            <w:r>
              <w:t xml:space="preserve">用途</w:t>
            </w:r>
          </w:p>
        </w:tc>
      </w:tr>
      <w:tr>
        <w:tc>
          <w:tcPr>
            <w:tcW w:w="4600" w:type="dxa"/>
          </w:tcPr>
          <w:p>
            <w:pPr/>
            <w:r>
              <w:t xml:space="preserve">npm run typecheck</w:t>
            </w:r>
          </w:p>
        </w:tc>
        <w:tc>
          <w:tcPr>
            <w:tcW w:w="4600" w:type="dxa"/>
          </w:tcPr>
          <w:p>
            <w:pPr/>
            <w:r>
              <w:t xml:space="preserve">检查 TypeScript 类型。</w:t>
            </w:r>
          </w:p>
        </w:tc>
      </w:tr>
      <w:tr>
        <w:tc>
          <w:tcPr>
            <w:tcW w:w="4600" w:type="dxa"/>
          </w:tcPr>
          <w:p>
            <w:pPr/>
            <w:r>
              <w:t xml:space="preserve">npm test</w:t>
            </w:r>
          </w:p>
        </w:tc>
        <w:tc>
          <w:tcPr>
            <w:tcW w:w="4600" w:type="dxa"/>
          </w:tcPr>
          <w:p>
            <w:pPr/>
            <w:r>
              <w:t xml:space="preserve">运行 KDL、GRL、runtime、post/import、integration 全量测试。</w:t>
            </w:r>
          </w:p>
        </w:tc>
      </w:tr>
      <w:tr>
        <w:tc>
          <w:tcPr>
            <w:tcW w:w="4600" w:type="dxa"/>
          </w:tcPr>
          <w:p>
            <w:pPr/>
            <w:r>
              <w:t xml:space="preserve">npm run suite:abb120-spec</w:t>
            </w:r>
          </w:p>
        </w:tc>
        <w:tc>
          <w:tcPr>
            <w:tcW w:w="4600" w:type="dxa"/>
          </w:tcPr>
          <w:p>
            <w:pPr/>
            <w:r>
              <w:t xml:space="preserve">运行 19 个 ABB120 GRL 规范程序，生成 job/report/program 证据。</w:t>
            </w:r>
          </w:p>
        </w:tc>
      </w:tr>
      <w:tr>
        <w:tc>
          <w:tcPr>
            <w:tcW w:w="4600" w:type="dxa"/>
          </w:tcPr>
          <w:p>
            <w:pPr/>
            <w:r>
              <w:t xml:space="preserve">npm run verify:virtual-controller</w:t>
            </w:r>
          </w:p>
        </w:tc>
        <w:tc>
          <w:tcPr>
            <w:tcW w:w="4600" w:type="dxa"/>
          </w:tcPr>
          <w:p>
            <w:pPr/>
            <w:r>
              <w:t xml:space="preserve">打开虚拟控制器 HTML，执行交互并生成桌面/移动截图。</w:t>
            </w:r>
          </w:p>
        </w:tc>
      </w:tr>
    </w:tbl>
    <w:p>
      <w:pPr>
        <w:pStyle w:val="Heading1"/>
      </w:pPr>
      <w:r>
        <w:t xml:space="preserve">十三、后处理和跨品牌输出</w:t>
      </w:r>
    </w:p>
    <w:p>
      <w:pPr>
        <w:jc w:val="center"/>
      </w:pPr>
      <w:r>
        <w:drawing>
          <wp:inline distT="0" distB="0" distL="0" distR="0">
            <wp:extent cx="5943600" cy="3343275"/>
            <wp:effectExtent l="0" t="0" r="0" b="0"/>
            <wp:docPr id="5" name="后处理与导入回读流程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-05.png"/>
                    <pic:cNvPicPr/>
                  </pic:nvPicPr>
                  <pic:blipFill>
                    <a:blip r:embed="rId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 xml:space="preserve">图 7 后处理与导入回读流程图</w:t>
      </w:r>
    </w:p>
    <w:tbl>
      <w:tblPr>
        <w:tblStyle w:val="TableGrid"/>
        <w:tblW w:w="0" w:type="auto"/>
        <w:tblLook w:val="04A0"/>
      </w:tblPr>
      <w:tr>
        <w:tc>
          <w:tcPr>
            <w:tcW w:w="2300" w:type="dxa"/>
          </w:tcPr>
          <w:p>
            <w:pPr>
              <w:pStyle w:val="TableHeader"/>
            </w:pPr>
            <w:r>
              <w:t xml:space="preserve">GRL</w:t>
            </w:r>
          </w:p>
        </w:tc>
        <w:tc>
          <w:tcPr>
            <w:tcW w:w="2300" w:type="dxa"/>
          </w:tcPr>
          <w:p>
            <w:pPr>
              <w:pStyle w:val="TableHeader"/>
            </w:pPr>
            <w:r>
              <w:t xml:space="preserve">ABB RAPID</w:t>
            </w:r>
          </w:p>
        </w:tc>
        <w:tc>
          <w:tcPr>
            <w:tcW w:w="2300" w:type="dxa"/>
          </w:tcPr>
          <w:p>
            <w:pPr>
              <w:pStyle w:val="TableHeader"/>
            </w:pPr>
            <w:r>
              <w:t xml:space="preserve">FANUC LS/TP</w:t>
            </w:r>
          </w:p>
        </w:tc>
        <w:tc>
          <w:tcPr>
            <w:tcW w:w="2300" w:type="dxa"/>
          </w:tcPr>
          <w:p>
            <w:pPr>
              <w:pStyle w:val="TableHeader"/>
            </w:pPr>
            <w:r>
              <w:t xml:space="preserve">KUKA KRL</w:t>
            </w:r>
          </w:p>
        </w:tc>
      </w:tr>
      <w:tr>
        <w:tc>
          <w:tcPr>
            <w:tcW w:w="2300" w:type="dxa"/>
          </w:tcPr>
          <w:p>
            <w:pPr/>
            <w:r>
              <w:t xml:space="preserve">module</w:t>
            </w:r>
          </w:p>
        </w:tc>
        <w:tc>
          <w:tcPr>
            <w:tcW w:w="2300" w:type="dxa"/>
          </w:tcPr>
          <w:p>
            <w:pPr/>
            <w:r>
              <w:t xml:space="preserve">MODULE</w:t>
            </w:r>
          </w:p>
        </w:tc>
        <w:tc>
          <w:tcPr>
            <w:tcW w:w="2300" w:type="dxa"/>
          </w:tcPr>
          <w:p>
            <w:pPr/>
            <w:r>
              <w:t xml:space="preserve">/PROG 或模块</w:t>
            </w:r>
          </w:p>
        </w:tc>
        <w:tc>
          <w:tcPr>
            <w:tcW w:w="2300" w:type="dxa"/>
          </w:tcPr>
          <w:p>
            <w:pPr/>
            <w:r>
              <w:t xml:space="preserve">DEF/.src</w:t>
            </w:r>
          </w:p>
        </w:tc>
      </w:tr>
      <w:tr>
        <w:tc>
          <w:tcPr>
            <w:tcW w:w="2300" w:type="dxa"/>
          </w:tcPr>
          <w:p>
            <w:pPr/>
            <w:r>
              <w:t xml:space="preserve">proc</w:t>
            </w:r>
          </w:p>
        </w:tc>
        <w:tc>
          <w:tcPr>
            <w:tcW w:w="2300" w:type="dxa"/>
          </w:tcPr>
          <w:p>
            <w:pPr/>
            <w:r>
              <w:t xml:space="preserve">PROC</w:t>
            </w:r>
          </w:p>
        </w:tc>
        <w:tc>
          <w:tcPr>
            <w:tcW w:w="2300" w:type="dxa"/>
          </w:tcPr>
          <w:p>
            <w:pPr/>
            <w:r>
              <w:t xml:space="preserve">CALL 子程序</w:t>
            </w:r>
          </w:p>
        </w:tc>
        <w:tc>
          <w:tcPr>
            <w:tcW w:w="2300" w:type="dxa"/>
          </w:tcPr>
          <w:p>
            <w:pPr/>
            <w:r>
              <w:t xml:space="preserve">DEF 子程序</w:t>
            </w:r>
          </w:p>
        </w:tc>
      </w:tr>
      <w:tr>
        <w:tc>
          <w:tcPr>
            <w:tcW w:w="2300" w:type="dxa"/>
          </w:tcPr>
          <w:p>
            <w:pPr/>
            <w:r>
              <w:t xml:space="preserve">movej</w:t>
            </w:r>
          </w:p>
        </w:tc>
        <w:tc>
          <w:tcPr>
            <w:tcW w:w="2300" w:type="dxa"/>
          </w:tcPr>
          <w:p>
            <w:pPr/>
            <w:r>
              <w:t xml:space="preserve">MoveJ</w:t>
            </w:r>
          </w:p>
        </w:tc>
        <w:tc>
          <w:tcPr>
            <w:tcW w:w="2300" w:type="dxa"/>
          </w:tcPr>
          <w:p>
            <w:pPr/>
            <w:r>
              <w:t xml:space="preserve">J P[...] </w:t>
            </w:r>
          </w:p>
        </w:tc>
        <w:tc>
          <w:tcPr>
            <w:tcW w:w="2300" w:type="dxa"/>
          </w:tcPr>
          <w:p>
            <w:pPr/>
            <w:r>
              <w:t xml:space="preserve">PTP</w:t>
            </w:r>
          </w:p>
        </w:tc>
      </w:tr>
      <w:tr>
        <w:tc>
          <w:tcPr>
            <w:tcW w:w="2300" w:type="dxa"/>
          </w:tcPr>
          <w:p>
            <w:pPr/>
            <w:r>
              <w:t xml:space="preserve">movel</w:t>
            </w:r>
          </w:p>
        </w:tc>
        <w:tc>
          <w:tcPr>
            <w:tcW w:w="2300" w:type="dxa"/>
          </w:tcPr>
          <w:p>
            <w:pPr/>
            <w:r>
              <w:t xml:space="preserve">MoveL</w:t>
            </w:r>
          </w:p>
        </w:tc>
        <w:tc>
          <w:tcPr>
            <w:tcW w:w="2300" w:type="dxa"/>
          </w:tcPr>
          <w:p>
            <w:pPr/>
            <w:r>
              <w:t xml:space="preserve">L P[...] </w:t>
            </w:r>
          </w:p>
        </w:tc>
        <w:tc>
          <w:tcPr>
            <w:tcW w:w="2300" w:type="dxa"/>
          </w:tcPr>
          <w:p>
            <w:pPr/>
            <w:r>
              <w:t xml:space="preserve">LIN</w:t>
            </w:r>
          </w:p>
        </w:tc>
      </w:tr>
      <w:tr>
        <w:tc>
          <w:tcPr>
            <w:tcW w:w="2300" w:type="dxa"/>
          </w:tcPr>
          <w:p>
            <w:pPr/>
            <w:r>
              <w:t xml:space="preserve">movec</w:t>
            </w:r>
          </w:p>
        </w:tc>
        <w:tc>
          <w:tcPr>
            <w:tcW w:w="2300" w:type="dxa"/>
          </w:tcPr>
          <w:p>
            <w:pPr/>
            <w:r>
              <w:t xml:space="preserve">MoveC</w:t>
            </w:r>
          </w:p>
        </w:tc>
        <w:tc>
          <w:tcPr>
            <w:tcW w:w="2300" w:type="dxa"/>
          </w:tcPr>
          <w:p>
            <w:pPr/>
            <w:r>
              <w:t xml:space="preserve">C P[...] </w:t>
            </w:r>
          </w:p>
        </w:tc>
        <w:tc>
          <w:tcPr>
            <w:tcW w:w="2300" w:type="dxa"/>
          </w:tcPr>
          <w:p>
            <w:pPr/>
            <w:r>
              <w:t xml:space="preserve">CIRC</w:t>
            </w:r>
          </w:p>
        </w:tc>
      </w:tr>
      <w:tr>
        <w:tc>
          <w:tcPr>
            <w:tcW w:w="2300" w:type="dxa"/>
          </w:tcPr>
          <w:p>
            <w:pPr/>
            <w:r>
              <w:t xml:space="preserve">io.do[1] = true</w:t>
            </w:r>
          </w:p>
        </w:tc>
        <w:tc>
          <w:tcPr>
            <w:tcW w:w="2300" w:type="dxa"/>
          </w:tcPr>
          <w:p>
            <w:pPr/>
            <w:r>
              <w:t xml:space="preserve">SetDO do1, 1</w:t>
            </w:r>
          </w:p>
        </w:tc>
        <w:tc>
          <w:tcPr>
            <w:tcW w:w="2300" w:type="dxa"/>
          </w:tcPr>
          <w:p>
            <w:pPr/>
            <w:r>
              <w:t xml:space="preserve">DO[1]=ON</w:t>
            </w:r>
          </w:p>
        </w:tc>
        <w:tc>
          <w:tcPr>
            <w:tcW w:w="2300" w:type="dxa"/>
          </w:tcPr>
          <w:p>
            <w:pPr/>
            <w:r>
              <w:t xml:space="preserve">$OUT[1]=TRUE</w:t>
            </w:r>
          </w:p>
        </w:tc>
      </w:tr>
      <w:tr>
        <w:tc>
          <w:tcPr>
            <w:tcW w:w="2300" w:type="dxa"/>
          </w:tcPr>
          <w:p>
            <w:pPr/>
            <w:r>
              <w:t xml:space="preserve">wait io.di[1] == true</w:t>
            </w:r>
          </w:p>
        </w:tc>
        <w:tc>
          <w:tcPr>
            <w:tcW w:w="2300" w:type="dxa"/>
          </w:tcPr>
          <w:p>
            <w:pPr/>
            <w:r>
              <w:t xml:space="preserve">WaitDI di1, 1</w:t>
            </w:r>
          </w:p>
        </w:tc>
        <w:tc>
          <w:tcPr>
            <w:tcW w:w="2300" w:type="dxa"/>
          </w:tcPr>
          <w:p>
            <w:pPr/>
            <w:r>
              <w:t xml:space="preserve">WAIT DI[1]=ON</w:t>
            </w:r>
          </w:p>
        </w:tc>
        <w:tc>
          <w:tcPr>
            <w:tcW w:w="2300" w:type="dxa"/>
          </w:tcPr>
          <w:p>
            <w:pPr/>
            <w:r>
              <w:t xml:space="preserve">WAIT FOR $IN[1]==TRUE</w:t>
            </w:r>
          </w:p>
        </w:tc>
      </w:tr>
    </w:tbl>
    <w:p>
      <w:pPr>
        <w:pStyle w:val="BodyText"/>
      </w:pPr>
      <w:r>
        <w:t xml:space="preserve">后处理器遇到品牌不支持或只能近似表达的语义时，应写入转换报告。用户必须检查报告，再到真实控制器中做品牌校验和现场低速试运行。</w:t>
      </w:r>
    </w:p>
    <w:p>
      <w:pPr>
        <w:pStyle w:val="Heading1"/>
      </w:pPr>
      <w:r>
        <w:t xml:space="preserve">十四、常见诊断和处理建议</w:t>
      </w:r>
    </w:p>
    <w:tbl>
      <w:tblPr>
        <w:tblStyle w:val="TableGrid"/>
        <w:tblW w:w="0" w:type="auto"/>
        <w:tblLook w:val="04A0"/>
      </w:tblPr>
      <w:tr>
        <w:tc>
          <w:tcPr>
            <w:tcW w:w="3066" w:type="dxa"/>
          </w:tcPr>
          <w:p>
            <w:pPr>
              <w:pStyle w:val="TableHeader"/>
            </w:pPr>
            <w:r>
              <w:t xml:space="preserve">诊断</w:t>
            </w:r>
          </w:p>
        </w:tc>
        <w:tc>
          <w:tcPr>
            <w:tcW w:w="3066" w:type="dxa"/>
          </w:tcPr>
          <w:p>
            <w:pPr>
              <w:pStyle w:val="TableHeader"/>
            </w:pPr>
            <w:r>
              <w:t xml:space="preserve">常见原因</w:t>
            </w:r>
          </w:p>
        </w:tc>
        <w:tc>
          <w:tcPr>
            <w:tcW w:w="3066" w:type="dxa"/>
          </w:tcPr>
          <w:p>
            <w:pPr>
              <w:pStyle w:val="TableHeader"/>
            </w:pPr>
            <w:r>
              <w:t xml:space="preserve">处理方式</w:t>
            </w:r>
          </w:p>
        </w:tc>
      </w:tr>
      <w:tr>
        <w:tc>
          <w:tcPr>
            <w:tcW w:w="3066" w:type="dxa"/>
          </w:tcPr>
          <w:p>
            <w:pPr/>
            <w:r>
              <w:t xml:space="preserve">GRL_EXPR_UNKNOWN_SYMBOL</w:t>
            </w:r>
          </w:p>
        </w:tc>
        <w:tc>
          <w:tcPr>
            <w:tcW w:w="3066" w:type="dxa"/>
          </w:tcPr>
          <w:p>
            <w:pPr/>
            <w:r>
              <w:t xml:space="preserve">表达式引用未声明常量或变量。</w:t>
            </w:r>
          </w:p>
        </w:tc>
        <w:tc>
          <w:tcPr>
            <w:tcW w:w="3066" w:type="dxa"/>
          </w:tcPr>
          <w:p>
            <w:pPr/>
            <w:r>
              <w:t xml:space="preserve">检查拼写和声明顺序。</w:t>
            </w:r>
          </w:p>
        </w:tc>
      </w:tr>
      <w:tr>
        <w:tc>
          <w:tcPr>
            <w:tcW w:w="3066" w:type="dxa"/>
          </w:tcPr>
          <w:p>
            <w:pPr/>
            <w:r>
              <w:t xml:space="preserve">GRL_EXPR_UNIT_MISMATCH</w:t>
            </w:r>
          </w:p>
        </w:tc>
        <w:tc>
          <w:tcPr>
            <w:tcW w:w="3066" w:type="dxa"/>
          </w:tcPr>
          <w:p>
            <w:pPr/>
            <w:r>
              <w:t xml:space="preserve">不同物理单位混合计算。</w:t>
            </w:r>
          </w:p>
        </w:tc>
        <w:tc>
          <w:tcPr>
            <w:tcW w:w="3066" w:type="dxa"/>
          </w:tcPr>
          <w:p>
            <w:pPr/>
            <w:r>
              <w:t xml:space="preserve">统一长度、时间、角度或速度维度。</w:t>
            </w:r>
          </w:p>
        </w:tc>
      </w:tr>
      <w:tr>
        <w:tc>
          <w:tcPr>
            <w:tcW w:w="3066" w:type="dxa"/>
          </w:tcPr>
          <w:p>
            <w:pPr/>
            <w:r>
              <w:t xml:space="preserve">GRL_TARGET_NOT_FOUND</w:t>
            </w:r>
          </w:p>
        </w:tc>
        <w:tc>
          <w:tcPr>
            <w:tcW w:w="3066" w:type="dxa"/>
          </w:tcPr>
          <w:p>
            <w:pPr/>
            <w:r>
              <w:t xml:space="preserve">运动或路径点引用不存在目标点。</w:t>
            </w:r>
          </w:p>
        </w:tc>
        <w:tc>
          <w:tcPr>
            <w:tcW w:w="3066" w:type="dxa"/>
          </w:tcPr>
          <w:p>
            <w:pPr/>
            <w:r>
              <w:t xml:space="preserve">补充 target 或修正名称。</w:t>
            </w:r>
          </w:p>
        </w:tc>
      </w:tr>
      <w:tr>
        <w:tc>
          <w:tcPr>
            <w:tcW w:w="3066" w:type="dxa"/>
          </w:tcPr>
          <w:p>
            <w:pPr/>
            <w:r>
              <w:t xml:space="preserve">KDL_TARGET_UNREACHABLE</w:t>
            </w:r>
          </w:p>
        </w:tc>
        <w:tc>
          <w:tcPr>
            <w:tcW w:w="3066" w:type="dxa"/>
          </w:tcPr>
          <w:p>
            <w:pPr/>
            <w:r>
              <w:t xml:space="preserve">笛卡尔点超出机器人工作空间。</w:t>
            </w:r>
          </w:p>
        </w:tc>
        <w:tc>
          <w:tcPr>
            <w:tcW w:w="3066" w:type="dxa"/>
          </w:tcPr>
          <w:p>
            <w:pPr/>
            <w:r>
              <w:t xml:space="preserve">调整目标点、工具、坐标系或机器人配置。</w:t>
            </w:r>
          </w:p>
        </w:tc>
      </w:tr>
      <w:tr>
        <w:tc>
          <w:tcPr>
            <w:tcW w:w="3066" w:type="dxa"/>
          </w:tcPr>
          <w:p>
            <w:pPr/>
            <w:r>
              <w:t xml:space="preserve">KDL_JOINT_LIMIT</w:t>
            </w:r>
          </w:p>
        </w:tc>
        <w:tc>
          <w:tcPr>
            <w:tcW w:w="3066" w:type="dxa"/>
          </w:tcPr>
          <w:p>
            <w:pPr/>
            <w:r>
              <w:t xml:space="preserve">目标关节超过限位。</w:t>
            </w:r>
          </w:p>
        </w:tc>
        <w:tc>
          <w:tcPr>
            <w:tcW w:w="3066" w:type="dxa"/>
          </w:tcPr>
          <w:p>
            <w:pPr/>
            <w:r>
              <w:t xml:space="preserve">修改 joint_target 或使用 IK 可达姿态。</w:t>
            </w:r>
          </w:p>
        </w:tc>
      </w:tr>
      <w:tr>
        <w:tc>
          <w:tcPr>
            <w:tcW w:w="3066" w:type="dxa"/>
          </w:tcPr>
          <w:p>
            <w:pPr/>
            <w:r>
              <w:t xml:space="preserve">GRL_PATH_EMPTY</w:t>
            </w:r>
          </w:p>
        </w:tc>
        <w:tc>
          <w:tcPr>
            <w:tcW w:w="3066" w:type="dxa"/>
          </w:tcPr>
          <w:p>
            <w:pPr/>
            <w:r>
              <w:t xml:space="preserve">path 没有 point。</w:t>
            </w:r>
          </w:p>
        </w:tc>
        <w:tc>
          <w:tcPr>
            <w:tcW w:w="3066" w:type="dxa"/>
          </w:tcPr>
          <w:p>
            <w:pPr/>
            <w:r>
              <w:t xml:space="preserve">至少添加一个 point。</w:t>
            </w:r>
          </w:p>
        </w:tc>
      </w:tr>
      <w:tr>
        <w:tc>
          <w:tcPr>
            <w:tcW w:w="3066" w:type="dxa"/>
          </w:tcPr>
          <w:p>
            <w:pPr/>
            <w:r>
              <w:t xml:space="preserve">VC_WAIT_TIMEOUT</w:t>
            </w:r>
          </w:p>
        </w:tc>
        <w:tc>
          <w:tcPr>
            <w:tcW w:w="3066" w:type="dxa"/>
          </w:tcPr>
          <w:p>
            <w:pPr/>
            <w:r>
              <w:t xml:space="preserve">wait 条件在 timeout 内未满足。</w:t>
            </w:r>
          </w:p>
        </w:tc>
        <w:tc>
          <w:tcPr>
            <w:tcW w:w="3066" w:type="dxa"/>
          </w:tcPr>
          <w:p>
            <w:pPr/>
            <w:r>
              <w:t xml:space="preserve">检查 IO 输入、脚本、超时时间和 on_timeout 动作。</w:t>
            </w:r>
          </w:p>
        </w:tc>
      </w:tr>
      <w:tr>
        <w:tc>
          <w:tcPr>
            <w:tcW w:w="3066" w:type="dxa"/>
          </w:tcPr>
          <w:p>
            <w:pPr/>
            <w:r>
              <w:t xml:space="preserve">GRL_POST_UNSUPPORTED</w:t>
            </w:r>
          </w:p>
        </w:tc>
        <w:tc>
          <w:tcPr>
            <w:tcW w:w="3066" w:type="dxa"/>
          </w:tcPr>
          <w:p>
            <w:pPr/>
            <w:r>
              <w:t xml:space="preserve">目标品牌后处理暂不支持该语义。</w:t>
            </w:r>
          </w:p>
        </w:tc>
        <w:tc>
          <w:tcPr>
            <w:tcW w:w="3066" w:type="dxa"/>
          </w:tcPr>
          <w:p>
            <w:pPr/>
            <w:r>
              <w:t xml:space="preserve">查看转换报告，必要时改写为品牌可支持结构。</w:t>
            </w:r>
          </w:p>
        </w:tc>
      </w:tr>
    </w:tbl>
    <w:p>
      <w:pPr>
        <w:pStyle w:val="Heading1"/>
      </w:pPr>
      <w:r>
        <w:t xml:space="preserve">十五、编写规范建议</w:t>
      </w:r>
    </w:p>
    <w:tbl>
      <w:tblPr>
        <w:tblStyle w:val="TableGrid"/>
        <w:tblW w:w="0" w:type="auto"/>
        <w:tblLook w:val="04A0"/>
      </w:tblPr>
      <w:tr>
        <w:tc>
          <w:tcPr>
            <w:tcW w:w="4600" w:type="dxa"/>
          </w:tcPr>
          <w:p>
            <w:pPr>
              <w:pStyle w:val="TableHeader"/>
            </w:pPr>
            <w:r>
              <w:t xml:space="preserve">建议</w:t>
            </w:r>
          </w:p>
        </w:tc>
        <w:tc>
          <w:tcPr>
            <w:tcW w:w="4600" w:type="dxa"/>
          </w:tcPr>
          <w:p>
            <w:pPr>
              <w:pStyle w:val="TableHeader"/>
            </w:pPr>
            <w:r>
              <w:t xml:space="preserve">说明</w:t>
            </w:r>
          </w:p>
        </w:tc>
      </w:tr>
      <w:tr>
        <w:tc>
          <w:tcPr>
            <w:tcW w:w="4600" w:type="dxa"/>
          </w:tcPr>
          <w:p>
            <w:pPr/>
            <w:r>
              <w:t xml:space="preserve">名称稳定</w:t>
            </w:r>
          </w:p>
        </w:tc>
        <w:tc>
          <w:tcPr>
            <w:tcW w:w="4600" w:type="dxa"/>
          </w:tcPr>
          <w:p>
            <w:pPr/>
            <w:r>
              <w:t xml:space="preserve">target、path point、operation 命名稳定，便于 diff 和回读。</w:t>
            </w:r>
          </w:p>
        </w:tc>
      </w:tr>
      <w:tr>
        <w:tc>
          <w:tcPr>
            <w:tcW w:w="4600" w:type="dxa"/>
          </w:tcPr>
          <w:p>
            <w:pPr/>
            <w:r>
              <w:t xml:space="preserve">显式单位</w:t>
            </w:r>
          </w:p>
        </w:tc>
        <w:tc>
          <w:tcPr>
            <w:tcW w:w="4600" w:type="dxa"/>
          </w:tcPr>
          <w:p>
            <w:pPr/>
            <w:r>
              <w:t xml:space="preserve">自动生成程序尽量输出 mm、deg、mm/s、ms 等单位。</w:t>
            </w:r>
          </w:p>
        </w:tc>
      </w:tr>
      <w:tr>
        <w:tc>
          <w:tcPr>
            <w:tcW w:w="4600" w:type="dxa"/>
          </w:tcPr>
          <w:p>
            <w:pPr/>
            <w:r>
              <w:t xml:space="preserve">入口简短</w:t>
            </w:r>
          </w:p>
        </w:tc>
        <w:tc>
          <w:tcPr>
            <w:tcW w:w="4600" w:type="dxa"/>
          </w:tcPr>
          <w:p>
            <w:pPr/>
            <w:r>
              <w:t xml:space="preserve">main 中只保留主流程调用，复杂路径放入 path/operation。</w:t>
            </w:r>
          </w:p>
        </w:tc>
      </w:tr>
      <w:tr>
        <w:tc>
          <w:tcPr>
            <w:tcW w:w="4600" w:type="dxa"/>
          </w:tcPr>
          <w:p>
            <w:pPr/>
            <w:r>
              <w:t xml:space="preserve">默认集中</w:t>
            </w:r>
          </w:p>
        </w:tc>
        <w:tc>
          <w:tcPr>
            <w:tcW w:w="4600" w:type="dxa"/>
          </w:tcPr>
          <w:p>
            <w:pPr/>
            <w:r>
              <w:t xml:space="preserve">path defaults 中集中设置 speed、zone、tool、frame。</w:t>
            </w:r>
          </w:p>
        </w:tc>
      </w:tr>
      <w:tr>
        <w:tc>
          <w:tcPr>
            <w:tcW w:w="4600" w:type="dxa"/>
          </w:tcPr>
          <w:p>
            <w:pPr/>
            <w:r>
              <w:t xml:space="preserve">IO 事件贴近路径</w:t>
            </w:r>
          </w:p>
        </w:tc>
        <w:tc>
          <w:tcPr>
            <w:tcW w:w="4600" w:type="dxa"/>
          </w:tcPr>
          <w:p>
            <w:pPr/>
            <w:r>
              <w:t xml:space="preserve">与路径点相关的夹具和工艺开关写成 event。</w:t>
            </w:r>
          </w:p>
        </w:tc>
      </w:tr>
      <w:tr>
        <w:tc>
          <w:tcPr>
            <w:tcW w:w="4600" w:type="dxa"/>
          </w:tcPr>
          <w:p>
            <w:pPr/>
            <w:r>
              <w:t xml:space="preserve">诊断必看</w:t>
            </w:r>
          </w:p>
        </w:tc>
        <w:tc>
          <w:tcPr>
            <w:tcW w:w="4600" w:type="dxa"/>
          </w:tcPr>
          <w:p>
            <w:pPr/>
            <w:r>
              <w:t xml:space="preserve">error 必须修复；warning 必须人工确认；info 可作为转换记录。</w:t>
            </w:r>
          </w:p>
        </w:tc>
      </w:tr>
      <w:tr>
        <w:tc>
          <w:tcPr>
            <w:tcW w:w="4600" w:type="dxa"/>
          </w:tcPr>
          <w:p>
            <w:pPr/>
            <w:r>
              <w:t xml:space="preserve">先仿真后后处理</w:t>
            </w:r>
          </w:p>
        </w:tc>
        <w:tc>
          <w:tcPr>
            <w:tcW w:w="4600" w:type="dxa"/>
          </w:tcPr>
          <w:p>
            <w:pPr/>
            <w:r>
              <w:t xml:space="preserve">先通过 GRL 编译和虚拟控制器，再输出品牌程序。</w:t>
            </w:r>
          </w:p>
        </w:tc>
      </w:tr>
      <w:tr>
        <w:tc>
          <w:tcPr>
            <w:tcW w:w="4600" w:type="dxa"/>
          </w:tcPr>
          <w:p>
            <w:pPr/>
            <w:r>
              <w:t xml:space="preserve">真实运行前校验</w:t>
            </w:r>
          </w:p>
        </w:tc>
        <w:tc>
          <w:tcPr>
            <w:tcW w:w="4600" w:type="dxa"/>
          </w:tcPr>
          <w:p>
            <w:pPr/>
            <w:r>
              <w:t xml:space="preserve">后处理程序必须经过品牌控制器验证和现场低速试运行。</w:t>
            </w:r>
          </w:p>
        </w:tc>
      </w:tr>
    </w:tbl>
    <w:p>
      <w:pPr>
        <w:pStyle w:val="Heading1"/>
      </w:pPr>
      <w:r>
        <w:t xml:space="preserve">十六、参考完整示例</w:t>
      </w:r>
    </w:p>
    <w:p>
      <w:pPr>
        <w:pStyle w:val="BodyText"/>
      </w:pPr>
      <w:r>
        <w:t xml:space="preserve">以下是规范套件中的完整示例程序，覆盖 tool/frame、path、operation、IO event、run_operation 和回 home，可作为复杂程序的参考。</w:t>
      </w:r>
    </w:p>
    <w:p>
      <w:pPr>
        <w:pStyle w:val="Code"/>
      </w:pPr>
      <w:r>
        <w:t xml:space="preserve">language grl 0.1</w:t>
      </w:r>
    </w:p>
    <w:p>
      <w:pPr>
        <w:pStyle w:val="Code"/>
      </w:pPr>
      <w:r>
        <w:t xml:space="preserve">module W2FullSpecExample</w:t>
      </w:r>
    </w:p>
    <w:p>
      <w:pPr>
        <w:pStyle w:val="Code"/>
      </w:pPr>
      <w:r>
        <w:t xml:space="preserve">  persistent tool gripper = tool {</w:t>
      </w:r>
    </w:p>
    <w:p>
      <w:pPr>
        <w:pStyle w:val="Code"/>
      </w:pPr>
      <w:r>
        <w:t xml:space="preserve">    tcp: pose(0 mm, 0 mm, 120 mm, 0 deg, 0 deg, 0 deg),</w:t>
      </w:r>
    </w:p>
    <w:p>
      <w:pPr>
        <w:pStyle w:val="Code"/>
      </w:pPr>
      <w:r>
        <w:t xml:space="preserve">    mass: 1.5 kg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persistent frame fixture = frame {</w:t>
      </w:r>
    </w:p>
    <w:p>
      <w:pPr>
        <w:pStyle w:val="Code"/>
      </w:pPr>
      <w:r>
        <w:t xml:space="preserve">    origin: pose(800 mm, 0 mm, 200 mm, 0 deg, 0 deg, 0 deg)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const speed v_fast = joint(55 %)</w:t>
      </w:r>
    </w:p>
    <w:p>
      <w:pPr>
        <w:pStyle w:val="Code"/>
      </w:pPr>
      <w:r>
        <w:t xml:space="preserve">  const speed v_pick = linear(180 mm/s)</w:t>
      </w:r>
    </w:p>
    <w:p>
      <w:pPr>
        <w:pStyle w:val="Code"/>
      </w:pPr>
      <w:r>
        <w:t xml:space="preserve">  const zone z_pick = z(10 mm)</w:t>
      </w:r>
    </w:p>
    <w:p>
      <w:pPr>
        <w:pStyle w:val="Code"/>
      </w:pPr>
      <w:r>
        <w:t xml:space="preserve">  target home = joint_target {</w:t>
      </w:r>
    </w:p>
    <w:p>
      <w:pPr>
        <w:pStyle w:val="Code"/>
      </w:pPr>
      <w:r>
        <w:t xml:space="preserve">    joints: [0 deg, -20 deg, 40 deg, 0 deg, 30 deg, 0 deg]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target pick = pose_target {</w:t>
      </w:r>
    </w:p>
    <w:p>
      <w:pPr>
        <w:pStyle w:val="Code"/>
      </w:pPr>
      <w:r>
        <w:t xml:space="preserve">    pose: pose(500 mm, 120 mm, 300 mm, 180 deg, 0 deg, 90 deg),</w:t>
      </w:r>
    </w:p>
    <w:p>
      <w:pPr>
        <w:pStyle w:val="Code"/>
      </w:pPr>
      <w:r>
        <w:t xml:space="preserve">    config: robot_config(0, 0, 1),</w:t>
      </w:r>
    </w:p>
    <w:p>
      <w:pPr>
        <w:pStyle w:val="Code"/>
      </w:pPr>
      <w:r>
        <w:t xml:space="preserve">    tool: gripper,</w:t>
      </w:r>
    </w:p>
    <w:p>
      <w:pPr>
        <w:pStyle w:val="Code"/>
      </w:pPr>
      <w:r>
        <w:t xml:space="preserve">    frame: fixture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target place = pose_target {</w:t>
      </w:r>
    </w:p>
    <w:p>
      <w:pPr>
        <w:pStyle w:val="Code"/>
      </w:pPr>
      <w:r>
        <w:t xml:space="preserve">    pose: pose(650 mm, -100 mm, 320 mm, 180 deg, 0 deg, 90 deg),</w:t>
      </w:r>
    </w:p>
    <w:p>
      <w:pPr>
        <w:pStyle w:val="Code"/>
      </w:pPr>
      <w:r>
        <w:t xml:space="preserve">    config: robot_config(0, 0, 1),</w:t>
      </w:r>
    </w:p>
    <w:p>
      <w:pPr>
        <w:pStyle w:val="Code"/>
      </w:pPr>
      <w:r>
        <w:t xml:space="preserve">    tool: gripper,</w:t>
      </w:r>
    </w:p>
    <w:p>
      <w:pPr>
        <w:pStyle w:val="Code"/>
      </w:pPr>
      <w:r>
        <w:t xml:space="preserve">    frame: fixture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path pick_path {</w:t>
      </w:r>
    </w:p>
    <w:p>
      <w:pPr>
        <w:pStyle w:val="Code"/>
      </w:pPr>
      <w:r>
        <w:t xml:space="preserve">    source {</w:t>
      </w:r>
    </w:p>
    <w:p>
      <w:pPr>
        <w:pStyle w:val="Code"/>
      </w:pPr>
      <w:r>
        <w:t xml:space="preserve">      type: "generated_example",</w:t>
      </w:r>
    </w:p>
    <w:p>
      <w:pPr>
        <w:pStyle w:val="Code"/>
      </w:pPr>
      <w:r>
        <w:t xml:space="preserve">      id: "pick_path"</w:t>
      </w:r>
    </w:p>
    <w:p>
      <w:pPr>
        <w:pStyle w:val="Code"/>
      </w:pPr>
      <w:r>
        <w:t xml:space="preserve">    }</w:t>
      </w:r>
    </w:p>
    <w:p>
      <w:pPr>
        <w:pStyle w:val="Code"/>
      </w:pPr>
      <w:r>
        <w:t xml:space="preserve">    defaults {</w:t>
      </w:r>
    </w:p>
    <w:p>
      <w:pPr>
        <w:pStyle w:val="Code"/>
      </w:pPr>
      <w:r>
        <w:t xml:space="preserve">      tool: gripper,</w:t>
      </w:r>
    </w:p>
    <w:p>
      <w:pPr>
        <w:pStyle w:val="Code"/>
      </w:pPr>
      <w:r>
        <w:t xml:space="preserve">      frame: fixture,</w:t>
      </w:r>
    </w:p>
    <w:p>
      <w:pPr>
        <w:pStyle w:val="Code"/>
      </w:pPr>
      <w:r>
        <w:t xml:space="preserve">      speed: v_pick,</w:t>
      </w:r>
    </w:p>
    <w:p>
      <w:pPr>
        <w:pStyle w:val="Code"/>
      </w:pPr>
      <w:r>
        <w:t xml:space="preserve">      zone: z_pick</w:t>
      </w:r>
    </w:p>
    <w:p>
      <w:pPr>
        <w:pStyle w:val="Code"/>
      </w:pPr>
      <w:r>
        <w:t xml:space="preserve">    }</w:t>
      </w:r>
    </w:p>
    <w:p>
      <w:pPr>
        <w:pStyle w:val="Code"/>
      </w:pPr>
      <w:r>
        <w:t xml:space="preserve">    point approach movej home speed v_fast zone fine</w:t>
      </w:r>
    </w:p>
    <w:p>
      <w:pPr>
        <w:pStyle w:val="Code"/>
      </w:pPr>
      <w:r>
        <w:t xml:space="preserve">    point above_pick movel pick offset z 100 mm</w:t>
      </w:r>
    </w:p>
    <w:p>
      <w:pPr>
        <w:pStyle w:val="Code"/>
      </w:pPr>
      <w:r>
        <w:t xml:space="preserve">    point at_pick movel pick zone fine</w:t>
      </w:r>
    </w:p>
    <w:p>
      <w:pPr>
        <w:pStyle w:val="Code"/>
      </w:pPr>
      <w:r>
        <w:t xml:space="preserve">    event after at_pick io.do[1] = true</w:t>
      </w:r>
    </w:p>
    <w:p>
      <w:pPr>
        <w:pStyle w:val="Code"/>
      </w:pPr>
      <w:r>
        <w:t xml:space="preserve">    event after at_pick wait io.di[1] == true timeout 2 s on_timeout alarm "Clamp close timeout"</w:t>
      </w:r>
    </w:p>
    <w:p>
      <w:pPr>
        <w:pStyle w:val="Code"/>
      </w:pPr>
      <w:r>
        <w:t xml:space="preserve">    point leave_pick movel pick offset z 100 mm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path place_path {</w:t>
      </w:r>
    </w:p>
    <w:p>
      <w:pPr>
        <w:pStyle w:val="Code"/>
      </w:pPr>
      <w:r>
        <w:t xml:space="preserve">    defaults {</w:t>
      </w:r>
    </w:p>
    <w:p>
      <w:pPr>
        <w:pStyle w:val="Code"/>
      </w:pPr>
      <w:r>
        <w:t xml:space="preserve">      tool: gripper,</w:t>
      </w:r>
    </w:p>
    <w:p>
      <w:pPr>
        <w:pStyle w:val="Code"/>
      </w:pPr>
      <w:r>
        <w:t xml:space="preserve">      frame: fixture,</w:t>
      </w:r>
    </w:p>
    <w:p>
      <w:pPr>
        <w:pStyle w:val="Code"/>
      </w:pPr>
      <w:r>
        <w:t xml:space="preserve">      speed: v_pick,</w:t>
      </w:r>
    </w:p>
    <w:p>
      <w:pPr>
        <w:pStyle w:val="Code"/>
      </w:pPr>
      <w:r>
        <w:t xml:space="preserve">      zone: z_pick</w:t>
      </w:r>
    </w:p>
    <w:p>
      <w:pPr>
        <w:pStyle w:val="Code"/>
      </w:pPr>
      <w:r>
        <w:t xml:space="preserve">    }</w:t>
      </w:r>
    </w:p>
    <w:p>
      <w:pPr>
        <w:pStyle w:val="Code"/>
      </w:pPr>
      <w:r>
        <w:t xml:space="preserve">    point above_place movel place offset z 100 mm</w:t>
      </w:r>
    </w:p>
    <w:p>
      <w:pPr>
        <w:pStyle w:val="Code"/>
      </w:pPr>
      <w:r>
        <w:t xml:space="preserve">    point at_place movel place zone fine</w:t>
      </w:r>
    </w:p>
    <w:p>
      <w:pPr>
        <w:pStyle w:val="Code"/>
      </w:pPr>
      <w:r>
        <w:t xml:space="preserve">    event after at_place io.do[1] = false</w:t>
      </w:r>
    </w:p>
    <w:p>
      <w:pPr>
        <w:pStyle w:val="Code"/>
      </w:pPr>
      <w:r>
        <w:t xml:space="preserve">    event after at_place wait io.di[2] == true timeout 2 s on_timeout alarm "Clamp open timeout"</w:t>
      </w:r>
    </w:p>
    <w:p>
      <w:pPr>
        <w:pStyle w:val="Code"/>
      </w:pPr>
      <w:r>
        <w:t xml:space="preserve">    point leave_place movel place offset z 100 mm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operation pick_op {</w:t>
      </w:r>
    </w:p>
    <w:p>
      <w:pPr>
        <w:pStyle w:val="Code"/>
      </w:pPr>
      <w:r>
        <w:t xml:space="preserve">    kind: handling</w:t>
      </w:r>
    </w:p>
    <w:p>
      <w:pPr>
        <w:pStyle w:val="Code"/>
      </w:pPr>
      <w:r>
        <w:t xml:space="preserve">    path: pick_path</w:t>
      </w:r>
    </w:p>
    <w:p>
      <w:pPr>
        <w:pStyle w:val="Code"/>
      </w:pPr>
      <w:r>
        <w:t xml:space="preserve">    process {</w:t>
      </w:r>
    </w:p>
    <w:p>
      <w:pPr>
        <w:pStyle w:val="Code"/>
      </w:pPr>
      <w:r>
        <w:t xml:space="preserve">      gripper: "main_clamp"</w:t>
      </w:r>
    </w:p>
    <w:p>
      <w:pPr>
        <w:pStyle w:val="Code"/>
      </w:pPr>
      <w:r>
        <w:t xml:space="preserve">    }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operation place_op {</w:t>
      </w:r>
    </w:p>
    <w:p>
      <w:pPr>
        <w:pStyle w:val="Code"/>
      </w:pPr>
      <w:r>
        <w:t xml:space="preserve">    kind: handling</w:t>
      </w:r>
    </w:p>
    <w:p>
      <w:pPr>
        <w:pStyle w:val="Code"/>
      </w:pPr>
      <w:r>
        <w:t xml:space="preserve">    path: place_path</w:t>
      </w:r>
    </w:p>
    <w:p>
      <w:pPr>
        <w:pStyle w:val="Code"/>
      </w:pPr>
      <w:r>
        <w:t xml:space="preserve">    process {</w:t>
      </w:r>
    </w:p>
    <w:p>
      <w:pPr>
        <w:pStyle w:val="Code"/>
      </w:pPr>
      <w:r>
        <w:t xml:space="preserve">      gripper: "main_clamp"</w:t>
      </w:r>
    </w:p>
    <w:p>
      <w:pPr>
        <w:pStyle w:val="Code"/>
      </w:pPr>
      <w:r>
        <w:t xml:space="preserve">    }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proc main()</w:t>
      </w:r>
    </w:p>
    <w:p>
      <w:pPr>
        <w:pStyle w:val="Code"/>
      </w:pPr>
      <w:r>
        <w:t xml:space="preserve">    set_tool gripper</w:t>
      </w:r>
    </w:p>
    <w:p>
      <w:pPr>
        <w:pStyle w:val="Code"/>
      </w:pPr>
      <w:r>
        <w:t xml:space="preserve">    set_frame fixture</w:t>
      </w:r>
    </w:p>
    <w:p>
      <w:pPr>
        <w:pStyle w:val="Code"/>
      </w:pPr>
      <w:r>
        <w:t xml:space="preserve">    run_operation pick_op</w:t>
      </w:r>
    </w:p>
    <w:p>
      <w:pPr>
        <w:pStyle w:val="Code"/>
      </w:pPr>
      <w:r>
        <w:t xml:space="preserve">    run_operation place_op</w:t>
      </w:r>
    </w:p>
    <w:p>
      <w:pPr>
        <w:pStyle w:val="Code"/>
      </w:pPr>
      <w:r>
        <w:t xml:space="preserve">    movej home speed v_fast zone fine</w:t>
      </w:r>
    </w:p>
    <w:p>
      <w:pPr>
        <w:pStyle w:val="Code"/>
      </w:pPr>
      <w:r>
        <w:t xml:space="preserve">  end</w:t>
      </w:r>
    </w:p>
    <w:p>
      <w:pPr>
        <w:pStyle w:val="Code"/>
      </w:pPr>
      <w:r>
        <w:t xml:space="preserve">end</w:t>
      </w:r>
    </w:p>
    <w:sectPr>
      <w:pgSz w:w="11906" w:h="16838"/>
      <w:pgMar w:top="1134" w:right="850" w:bottom="1134" w:left="850" w:header="708" w:footer="708" w:gutter="0"/>
      <w:cols w:space="708"/>
      <w:docGrid w:linePitch="312"/>
    </w:sectPr>
  </w:body>
</w:document>
</file>

<file path=word\styles.xml><?xml version="1.0" encoding="utf-8"?>
<w:styles xmlns:w="http://schemas.openxmlformats.org/wordprocessingml/2006/main">
  <w:style w:type="paragraph" w:default="1" w:styleId="Normal">
    <w:name w:val="Normal"/>
    <w:qFormat/>
    <w:rPr>
      <w:rFonts w:ascii="Microsoft YaHei" w:hAnsi="Microsoft YaHei" w:eastAsia="Microsoft YaHei"/>
      <w:sz w:val="21"/>
    </w:rPr>
  </w:style>
  <w:style w:type="paragraph" w:styleId="BodyText">
    <w:name w:val="Body Text"/>
    <w:basedOn w:val="Normal"/>
    <w:pPr>
      <w:spacing w:after="120" w:line="276" w:lineRule="auto"/>
    </w:pPr>
    <w:rPr>
      <w:rFonts w:ascii="Microsoft YaHei" w:hAnsi="Microsoft YaHei" w:eastAsia="Microsoft YaHei"/>
      <w:sz w:val="21"/>
    </w:rPr>
  </w:style>
  <w:style w:type="paragraph" w:styleId="Caption">
    <w:name w:val="Caption"/>
    <w:basedOn w:val="Normal"/>
    <w:pPr>
      <w:jc w:val="center"/>
      <w:spacing w:after="160"/>
    </w:pPr>
    <w:rPr>
      <w:i/>
      <w:rFonts w:ascii="Microsoft YaHei" w:hAnsi="Microsoft YaHei" w:eastAsia="Microsoft YaHei"/>
      <w:sz w:val="18"/>
      <w:color w:val="475569"/>
    </w:rPr>
  </w:style>
  <w:style w:type="paragraph" w:styleId="Heading1">
    <w:name w:val="heading 1"/>
    <w:basedOn w:val="Normal"/>
    <w:next w:val="BodyText"/>
    <w:qFormat/>
    <w:pPr>
      <w:keepNext/>
      <w:spacing w:before="360" w:after="180"/>
    </w:pPr>
    <w:rPr>
      <w:b/>
      <w:rFonts w:ascii="Microsoft YaHei" w:hAnsi="Microsoft YaHei" w:eastAsia="Microsoft YaHei"/>
      <w:sz w:val="32"/>
    </w:rPr>
  </w:style>
  <w:style w:type="paragraph" w:styleId="Heading2">
    <w:name w:val="heading 2"/>
    <w:basedOn w:val="Normal"/>
    <w:next w:val="BodyText"/>
    <w:qFormat/>
    <w:pPr>
      <w:keepNext/>
      <w:spacing w:before="280" w:after="140"/>
    </w:pPr>
    <w:rPr>
      <w:b/>
      <w:rFonts w:ascii="Microsoft YaHei" w:hAnsi="Microsoft YaHei" w:eastAsia="Microsoft YaHei"/>
      <w:sz w:val="27"/>
    </w:rPr>
  </w:style>
  <w:style w:type="paragraph" w:styleId="Heading3">
    <w:name w:val="heading 3"/>
    <w:basedOn w:val="Normal"/>
    <w:next w:val="BodyText"/>
    <w:qFormat/>
    <w:pPr>
      <w:keepNext/>
      <w:spacing w:before="180" w:after="100"/>
    </w:pPr>
    <w:rPr>
      <w:b/>
      <w:rFonts w:ascii="Microsoft YaHei" w:hAnsi="Microsoft YaHei" w:eastAsia="Microsoft YaHei"/>
      <w:sz w:val="23"/>
    </w:rPr>
  </w:style>
  <w:style w:type="paragraph" w:styleId="Code">
    <w:name w:val="Code"/>
    <w:basedOn w:val="Normal"/>
    <w:pPr>
      <w:spacing w:before="0" w:after="0" w:line="240" w:lineRule="auto"/>
    </w:pPr>
    <w:rPr>
      <w:rFonts w:ascii="Consolas" w:hAnsi="Consolas" w:eastAsia="Consolas"/>
      <w:sz w:val="16"/>
    </w:rPr>
  </w:style>
  <w:style w:type="paragraph" w:styleId="TableHeader">
    <w:name w:val="Table Header"/>
    <w:basedOn w:val="Normal"/>
    <w:rPr>
      <w:b/>
      <w:rFonts w:ascii="Microsoft YaHei" w:hAnsi="Microsoft YaHei" w:eastAsia="Microsoft YaHei"/>
      <w:sz w:val="20"/>
    </w:rPr>
  </w:style>
  <w:style w:type="table" w:default="1" w:styleId="TableNormal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tblPr>
      <w:tblBorders>
        <w:top w:val="single" w:sz="4" w:space="0" w:color="B7C1CC"/>
        <w:left w:val="single" w:sz="4" w:space="0" w:color="B7C1CC"/>
        <w:bottom w:val="single" w:sz="4" w:space="0" w:color="B7C1CC"/>
        <w:right w:val="single" w:sz="4" w:space="0" w:color="B7C1CC"/>
        <w:insideH w:val="single" w:sz="4" w:space="0" w:color="B7C1CC"/>
        <w:insideV w:val="single" w:sz="4" w:space="0" w:color="B7C1CC"/>
      </w:tblBorders>
    </w:tblPr>
  </w:style>
</w:styles>
</file>