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after="100" w:line="320" w:lineRule="auto"/>
      </w:pPr>
      <w:r>
        <w:rPr>
          <w:rFonts w:ascii="微软雅黑" w:hAnsi="微软雅黑" w:eastAsia="微软雅黑"/>
          <w:color w:val="666666"/>
          <w:sz w:val="28"/>
          <w:szCs w:val="28"/>
        </w:rPr>
        <w:t xml:space="preserve">大连元利流体技术有限公司</w:t>
      </w:r>
    </w:p>
    <w:p>
      <w:pPr>
        <w:jc w:val="center"/>
        <w:spacing w:after="150" w:line="320" w:lineRule="auto"/>
      </w:pPr>
      <w:r>
        <w:rPr>
          <w:rFonts w:ascii="微软雅黑" w:hAnsi="微软雅黑" w:eastAsia="微软雅黑"/>
          <w:b/>
          <w:color w:val="17365D"/>
          <w:sz w:val="52"/>
          <w:szCs w:val="52"/>
        </w:rPr>
        <w:t xml:space="preserve">MES 后台网页版用户操作手册</w:t>
      </w:r>
    </w:p>
    <w:p>
      <w:pPr>
        <w:jc w:val="center"/>
        <w:spacing w:after="800" w:line="320" w:lineRule="auto"/>
      </w:pPr>
      <w:r>
        <w:rPr>
          <w:rFonts w:ascii="微软雅黑" w:hAnsi="微软雅黑" w:eastAsia="微软雅黑"/>
          <w:color w:val="1F4E78"/>
          <w:sz w:val="26"/>
          <w:szCs w:val="26"/>
        </w:rPr>
        <w:t xml:space="preserve">测试环境使用与功能定位指南</w:t>
      </w:r>
    </w:p>
    <w:tbl>
      <w:tblPr>
        <w:tblW w:w="9000" w:type="dxa"/>
        <w:tblBorders>
          <w:top w:val="single" w:sz="5" w:color="548235"/>
          <w:left w:val="single" w:sz="5" w:color="548235"/>
          <w:bottom w:val="single" w:sz="5" w:color="548235"/>
          <w:right w:val="single" w:sz="5" w:color="548235"/>
        </w:tblBorders>
      </w:tblPr>
      <w:tblGrid>
        <w:gridCol w:w="9000"/>
      </w:tblGrid>
      <w:tr>
        <w:trPr>
          <w:cantSplit/>
        </w:trPr>
        <w:tc>
          <w:tcPr>
            <w:tcW w:w="9000" w:type="dxa"/>
            <w:shd w:fill="E2F0D9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70" w:line="320" w:lineRule="auto"/>
            </w:pPr>
            <w:r>
              <w:rPr>
                <w:rFonts w:ascii="微软雅黑" w:hAnsi="微软雅黑" w:eastAsia="微软雅黑"/>
                <w:b/>
                <w:color w:val="548235"/>
                <w:sz w:val="22"/>
                <w:szCs w:val="22"/>
              </w:rPr>
              <w:t xml:space="preserve">手册范围</w:t>
            </w:r>
          </w:p>
          <w:p>
            <w:pPr>
              <w:spacing w:after="0" w:line="32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本手册覆盖测试角色菜单中的 84 条菜单、75 个页面，提供用户操作、权限、安全边界和问题定位方法。</w:t>
            </w:r>
          </w:p>
        </w:tc>
      </w:tr>
    </w:tbl>
    <w:p>
      <w:pPr>
        <w:jc w:val="center"/>
        <w:spacing w:after="300" w:line="320" w:lineRule="auto"/>
      </w:pPr>
      <w:r>
        <w:rPr>
          <w:rFonts w:ascii="宋体" w:hAnsi="宋体" w:eastAsia="宋体"/>
          <w:color w:val="666666"/>
          <w:sz w:val="20"/>
          <w:szCs w:val="20"/>
        </w:rPr>
        <w:t xml:space="preserve">版本：V1.0　日期：2026-07-25　适用：MES 测试环境</w:t>
      </w:r>
    </w:p>
    <w:p>
      <w:pPr>
        <w:jc w:val="center"/>
        <w:spacing w:after="500" w:line="320" w:lineRule="auto"/>
      </w:pPr>
      <w:r>
        <w:rPr>
          <w:rFonts w:ascii="宋体" w:hAnsi="宋体" w:eastAsia="宋体"/>
          <w:color w:val="666666"/>
          <w:sz w:val="18"/>
          <w:szCs w:val="18"/>
        </w:rPr>
        <w:t xml:space="preserve">本手册不包含账号、密码、Token 或生产业务明细。</w:t>
      </w:r>
    </w:p>
    <w:p>
      <w:r>
        <w:br w:type="page"/>
      </w:r>
    </w:p>
    <w:p>
      <w:pPr>
        <w:pStyle w:val="Heading1"/>
        <w:keepNext/>
        <w:spacing w:after="100" w:line="320" w:lineRule="auto"/>
      </w:pPr>
      <w:r>
        <w:rPr>
          <w:rFonts w:ascii="宋体" w:hAnsi="宋体" w:eastAsia="宋体"/>
          <w:sz w:val="21"/>
          <w:szCs w:val="21"/>
        </w:rPr>
        <w:t xml:space="preserve">1. 使用前说明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测试前端地址：http://124.220.15.242:10012/。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MES 接口由前端自动调用，用户不需要手工拼接接口地址。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测试环境 B1/TM 只允许登录与只读 GET；语义 POST/PATCH 会在前端拦截。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页面按钮和数据范围由角色权限控制。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涉及新增、编辑、删除、排产、派工、报工、质检、入库和状态切换的操作，必须先确认业务单据和回滚方式。</w:t>
      </w:r>
    </w:p>
    <w:p>
      <w:pPr>
        <w:pStyle w:val="Heading1"/>
        <w:keepNext/>
        <w:pageBreakBefore/>
        <w:spacing w:after="100" w:line="320" w:lineRule="auto"/>
      </w:pPr>
      <w:r>
        <w:rPr>
          <w:rFonts w:ascii="宋体" w:hAnsi="宋体" w:eastAsia="宋体"/>
          <w:sz w:val="21"/>
          <w:szCs w:val="21"/>
        </w:rPr>
        <w:t xml:space="preserve">2. 登录与通用操作</w:t>
      </w:r>
    </w:p>
    <w:p>
      <w:pPr>
        <w:spacing w:after="8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14. </w:t>
      </w:r>
      <w:r>
        <w:rPr>
          <w:rFonts w:ascii="宋体" w:hAnsi="宋体" w:eastAsia="宋体"/>
          <w:sz w:val="21"/>
          <w:szCs w:val="21"/>
        </w:rPr>
        <w:t xml:space="preserve">打开测试前端地址，输入账号和密码登录。</w:t>
      </w:r>
    </w:p>
    <w:p>
      <w:pPr>
        <w:spacing w:after="8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15. </w:t>
      </w:r>
      <w:r>
        <w:rPr>
          <w:rFonts w:ascii="宋体" w:hAnsi="宋体" w:eastAsia="宋体"/>
          <w:sz w:val="21"/>
          <w:szCs w:val="21"/>
        </w:rPr>
        <w:t xml:space="preserve">登录成功后系统按角色加载菜单和按钮权限。</w:t>
      </w:r>
    </w:p>
    <w:p>
      <w:pPr>
        <w:spacing w:after="8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16. </w:t>
      </w:r>
      <w:r>
        <w:rPr>
          <w:rFonts w:ascii="宋体" w:hAnsi="宋体" w:eastAsia="宋体"/>
          <w:sz w:val="21"/>
          <w:szCs w:val="21"/>
        </w:rPr>
        <w:t xml:space="preserve">记住账号不会保存密码；共享电脑不要勾选。</w:t>
      </w:r>
    </w:p>
    <w:p>
      <w:pPr>
        <w:spacing w:after="8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17. </w:t>
      </w:r>
      <w:r>
        <w:rPr>
          <w:rFonts w:ascii="宋体" w:hAnsi="宋体" w:eastAsia="宋体"/>
          <w:sz w:val="21"/>
          <w:szCs w:val="21"/>
        </w:rPr>
        <w:t xml:space="preserve">列表页面先填写筛选条件再查询，使用分页和导出核对结果。</w:t>
      </w:r>
    </w:p>
    <w:p>
      <w:pPr>
        <w:spacing w:after="8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18. </w:t>
      </w:r>
      <w:r>
        <w:rPr>
          <w:rFonts w:ascii="宋体" w:hAnsi="宋体" w:eastAsia="宋体"/>
          <w:sz w:val="21"/>
          <w:szCs w:val="21"/>
        </w:rPr>
        <w:t xml:space="preserve">保存或状态操作后重新查询，检查状态、数量、操作人和操作时间。</w:t>
      </w:r>
    </w:p>
    <w:p>
      <w:pPr>
        <w:pStyle w:val="Heading1"/>
        <w:keepNext/>
        <w:pageBreakBefore/>
        <w:spacing w:after="100" w:line="320" w:lineRule="auto"/>
      </w:pPr>
      <w:r>
        <w:rPr>
          <w:rFonts w:ascii="宋体" w:hAnsi="宋体" w:eastAsia="宋体"/>
          <w:sz w:val="21"/>
          <w:szCs w:val="21"/>
        </w:rPr>
        <w:t xml:space="preserve">3. 菜单页面总览</w:t>
      </w:r>
    </w:p>
    <w:p>
      <w:pPr>
        <w:spacing w:after="140" w:line="320" w:lineRule="auto"/>
      </w:pPr>
      <w:r>
        <w:rPr>
          <w:rFonts w:ascii="宋体" w:hAnsi="宋体" w:eastAsia="宋体"/>
          <w:sz w:val="21"/>
          <w:szCs w:val="21"/>
        </w:rPr>
        <w:t xml:space="preserve">当前角色菜单 84 条，模块 9 个，可进入页面 75 个。不同角色可能少于此数量。</w:t>
      </w:r>
    </w:p>
    <w:p>
      <w:pPr>
        <w:pStyle w:val="Heading2"/>
        <w:keepNext/>
        <w:spacing w:after="100" w:line="320" w:lineRule="auto"/>
      </w:pPr>
      <w:r>
        <w:rPr>
          <w:rFonts w:ascii="宋体" w:hAnsi="宋体" w:eastAsia="宋体"/>
          <w:sz w:val="21"/>
          <w:szCs w:val="21"/>
        </w:rPr>
        <w:t xml:space="preserve">系统管理</w:t>
      </w:r>
    </w:p>
    <w:p>
      <w:pPr>
        <w:spacing w:after="100" w:line="320" w:lineRule="auto"/>
      </w:pPr>
      <w:r>
        <w:rPr>
          <w:rFonts w:ascii="宋体" w:hAnsi="宋体" w:eastAsia="宋体"/>
          <w:sz w:val="21"/>
          <w:szCs w:val="21"/>
        </w:rPr>
        <w:t xml:space="preserve">用于 MES 业务管理和查询。</w:t>
      </w:r>
    </w:p>
    <w:tbl>
      <w:tblPr>
        <w:tblW w:w="9000" w:type="dxa"/>
        <w:tblLayout w:type="fixed"/>
        <w:tblBorders>
          <w:top w:val="single" w:sz="5" w:color="B4C6E7"/>
          <w:left w:val="single" w:sz="5" w:color="B4C6E7"/>
          <w:bottom w:val="single" w:sz="5" w:color="B4C6E7"/>
          <w:right w:val="single" w:sz="5" w:color="B4C6E7"/>
          <w:insideH w:val="single" w:sz="3" w:color="D9E2F3"/>
          <w:insideV w:val="single" w:sz="3" w:color="D9E2F3"/>
        </w:tblBorders>
      </w:tblPr>
      <w:tblGrid>
        <w:gridCol w:w="1500"/>
        <w:gridCol w:w="2600"/>
        <w:gridCol w:w="2600"/>
        <w:gridCol w:w="2300"/>
      </w:tblGrid>
      <w:tr>
        <w:trPr>
          <w:tblHeader/>
          <w:cantSplit/>
        </w:trPr>
        <w:tc>
          <w:tcPr>
            <w:tcW w:w="15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  <w:shd w:fill="1F4E78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b/>
                <w:color w:val="FFFFFF"/>
                <w:sz w:val="18"/>
                <w:szCs w:val="18"/>
              </w:rPr>
              <w:t xml:space="preserve">页面</w:t>
            </w:r>
          </w:p>
        </w:tc>
        <w:tc>
          <w:tcPr>
            <w:tcW w:w="26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  <w:shd w:fill="1F4E78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b/>
                <w:color w:val="FFFFFF"/>
                <w:sz w:val="18"/>
                <w:szCs w:val="18"/>
              </w:rPr>
              <w:t xml:space="preserve">路径</w:t>
            </w:r>
          </w:p>
        </w:tc>
        <w:tc>
          <w:tcPr>
            <w:tcW w:w="26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  <w:shd w:fill="1F4E78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b/>
                <w:color w:val="FFFFFF"/>
                <w:sz w:val="18"/>
                <w:szCs w:val="18"/>
              </w:rPr>
              <w:t xml:space="preserve">主要操作</w:t>
            </w:r>
          </w:p>
        </w:tc>
        <w:tc>
          <w:tcPr>
            <w:tcW w:w="23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  <w:shd w:fill="1F4E78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b/>
                <w:color w:val="FFFFFF"/>
                <w:sz w:val="18"/>
                <w:szCs w:val="18"/>
              </w:rPr>
              <w:t xml:space="preserve">关键字段/内容</w:t>
            </w:r>
          </w:p>
        </w:tc>
      </w:tr>
    </w:tbl>
    <w:p>
      <w:pPr>
        <w:pStyle w:val="Heading2"/>
        <w:keepNext/>
        <w:spacing w:after="100" w:line="320" w:lineRule="auto"/>
      </w:pPr>
      <w:r>
        <w:rPr>
          <w:rFonts w:ascii="宋体" w:hAnsi="宋体" w:eastAsia="宋体"/>
          <w:sz w:val="21"/>
          <w:szCs w:val="21"/>
        </w:rPr>
        <w:t xml:space="preserve">计划排产</w:t>
      </w:r>
    </w:p>
    <w:p>
      <w:pPr>
        <w:spacing w:after="100" w:line="320" w:lineRule="auto"/>
      </w:pPr>
      <w:r>
        <w:rPr>
          <w:rFonts w:ascii="宋体" w:hAnsi="宋体" w:eastAsia="宋体"/>
          <w:sz w:val="21"/>
          <w:szCs w:val="21"/>
        </w:rPr>
        <w:t xml:space="preserve">用于 MES 业务管理和查询。</w:t>
      </w:r>
    </w:p>
    <w:tbl>
      <w:tblPr>
        <w:tblW w:w="9000" w:type="dxa"/>
        <w:tblLayout w:type="fixed"/>
        <w:tblBorders>
          <w:top w:val="single" w:sz="5" w:color="B4C6E7"/>
          <w:left w:val="single" w:sz="5" w:color="B4C6E7"/>
          <w:bottom w:val="single" w:sz="5" w:color="B4C6E7"/>
          <w:right w:val="single" w:sz="5" w:color="B4C6E7"/>
          <w:insideH w:val="single" w:sz="3" w:color="D9E2F3"/>
          <w:insideV w:val="single" w:sz="3" w:color="D9E2F3"/>
        </w:tblBorders>
      </w:tblPr>
      <w:tblGrid>
        <w:gridCol w:w="1500"/>
        <w:gridCol w:w="2600"/>
        <w:gridCol w:w="2600"/>
        <w:gridCol w:w="2300"/>
      </w:tblGrid>
      <w:tr>
        <w:trPr>
          <w:tblHeader/>
          <w:cantSplit/>
        </w:trPr>
        <w:tc>
          <w:tcPr>
            <w:tcW w:w="15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  <w:shd w:fill="1F4E78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b/>
                <w:color w:val="FFFFFF"/>
                <w:sz w:val="18"/>
                <w:szCs w:val="18"/>
              </w:rPr>
              <w:t xml:space="preserve">页面</w:t>
            </w:r>
          </w:p>
        </w:tc>
        <w:tc>
          <w:tcPr>
            <w:tcW w:w="26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  <w:shd w:fill="1F4E78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b/>
                <w:color w:val="FFFFFF"/>
                <w:sz w:val="18"/>
                <w:szCs w:val="18"/>
              </w:rPr>
              <w:t xml:space="preserve">路径</w:t>
            </w:r>
          </w:p>
        </w:tc>
        <w:tc>
          <w:tcPr>
            <w:tcW w:w="26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  <w:shd w:fill="1F4E78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b/>
                <w:color w:val="FFFFFF"/>
                <w:sz w:val="18"/>
                <w:szCs w:val="18"/>
              </w:rPr>
              <w:t xml:space="preserve">主要操作</w:t>
            </w:r>
          </w:p>
        </w:tc>
        <w:tc>
          <w:tcPr>
            <w:tcW w:w="23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  <w:shd w:fill="1F4E78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b/>
                <w:color w:val="FFFFFF"/>
                <w:sz w:val="18"/>
                <w:szCs w:val="18"/>
              </w:rPr>
              <w:t xml:space="preserve">关键字段/内容</w:t>
            </w:r>
          </w:p>
        </w:tc>
      </w:tr>
    </w:tbl>
    <w:p>
      <w:pPr>
        <w:pStyle w:val="Heading2"/>
        <w:keepNext/>
        <w:spacing w:after="100" w:line="320" w:lineRule="auto"/>
      </w:pPr>
      <w:r>
        <w:rPr>
          <w:rFonts w:ascii="宋体" w:hAnsi="宋体" w:eastAsia="宋体"/>
          <w:sz w:val="21"/>
          <w:szCs w:val="21"/>
        </w:rPr>
        <w:t xml:space="preserve">生产管理</w:t>
      </w:r>
    </w:p>
    <w:p>
      <w:pPr>
        <w:spacing w:after="100" w:line="320" w:lineRule="auto"/>
      </w:pPr>
      <w:r>
        <w:rPr>
          <w:rFonts w:ascii="宋体" w:hAnsi="宋体" w:eastAsia="宋体"/>
          <w:sz w:val="21"/>
          <w:szCs w:val="21"/>
        </w:rPr>
        <w:t xml:space="preserve">用于 MES 业务管理和查询。</w:t>
      </w:r>
    </w:p>
    <w:tbl>
      <w:tblPr>
        <w:tblW w:w="9000" w:type="dxa"/>
        <w:tblLayout w:type="fixed"/>
        <w:tblBorders>
          <w:top w:val="single" w:sz="5" w:color="B4C6E7"/>
          <w:left w:val="single" w:sz="5" w:color="B4C6E7"/>
          <w:bottom w:val="single" w:sz="5" w:color="B4C6E7"/>
          <w:right w:val="single" w:sz="5" w:color="B4C6E7"/>
          <w:insideH w:val="single" w:sz="3" w:color="D9E2F3"/>
          <w:insideV w:val="single" w:sz="3" w:color="D9E2F3"/>
        </w:tblBorders>
      </w:tblPr>
      <w:tblGrid>
        <w:gridCol w:w="1500"/>
        <w:gridCol w:w="2600"/>
        <w:gridCol w:w="2600"/>
        <w:gridCol w:w="2300"/>
      </w:tblGrid>
      <w:tr>
        <w:trPr>
          <w:tblHeader/>
          <w:cantSplit/>
        </w:trPr>
        <w:tc>
          <w:tcPr>
            <w:tcW w:w="15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  <w:shd w:fill="1F4E78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b/>
                <w:color w:val="FFFFFF"/>
                <w:sz w:val="18"/>
                <w:szCs w:val="18"/>
              </w:rPr>
              <w:t xml:space="preserve">页面</w:t>
            </w:r>
          </w:p>
        </w:tc>
        <w:tc>
          <w:tcPr>
            <w:tcW w:w="26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  <w:shd w:fill="1F4E78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b/>
                <w:color w:val="FFFFFF"/>
                <w:sz w:val="18"/>
                <w:szCs w:val="18"/>
              </w:rPr>
              <w:t xml:space="preserve">路径</w:t>
            </w:r>
          </w:p>
        </w:tc>
        <w:tc>
          <w:tcPr>
            <w:tcW w:w="26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  <w:shd w:fill="1F4E78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b/>
                <w:color w:val="FFFFFF"/>
                <w:sz w:val="18"/>
                <w:szCs w:val="18"/>
              </w:rPr>
              <w:t xml:space="preserve">主要操作</w:t>
            </w:r>
          </w:p>
        </w:tc>
        <w:tc>
          <w:tcPr>
            <w:tcW w:w="23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  <w:shd w:fill="1F4E78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b/>
                <w:color w:val="FFFFFF"/>
                <w:sz w:val="18"/>
                <w:szCs w:val="18"/>
              </w:rPr>
              <w:t xml:space="preserve">关键字段/内容</w:t>
            </w:r>
          </w:p>
        </w:tc>
      </w:tr>
    </w:tbl>
    <w:p>
      <w:pPr>
        <w:pStyle w:val="Heading2"/>
        <w:keepNext/>
        <w:spacing w:after="100" w:line="320" w:lineRule="auto"/>
      </w:pPr>
      <w:r>
        <w:rPr>
          <w:rFonts w:ascii="宋体" w:hAnsi="宋体" w:eastAsia="宋体"/>
          <w:sz w:val="21"/>
          <w:szCs w:val="21"/>
        </w:rPr>
        <w:t xml:space="preserve">质量管理</w:t>
      </w:r>
    </w:p>
    <w:p>
      <w:pPr>
        <w:spacing w:after="100" w:line="320" w:lineRule="auto"/>
      </w:pPr>
      <w:r>
        <w:rPr>
          <w:rFonts w:ascii="宋体" w:hAnsi="宋体" w:eastAsia="宋体"/>
          <w:sz w:val="21"/>
          <w:szCs w:val="21"/>
        </w:rPr>
        <w:t xml:space="preserve">用于 MES 业务管理和查询。</w:t>
      </w:r>
    </w:p>
    <w:tbl>
      <w:tblPr>
        <w:tblW w:w="9000" w:type="dxa"/>
        <w:tblLayout w:type="fixed"/>
        <w:tblBorders>
          <w:top w:val="single" w:sz="5" w:color="B4C6E7"/>
          <w:left w:val="single" w:sz="5" w:color="B4C6E7"/>
          <w:bottom w:val="single" w:sz="5" w:color="B4C6E7"/>
          <w:right w:val="single" w:sz="5" w:color="B4C6E7"/>
          <w:insideH w:val="single" w:sz="3" w:color="D9E2F3"/>
          <w:insideV w:val="single" w:sz="3" w:color="D9E2F3"/>
        </w:tblBorders>
      </w:tblPr>
      <w:tblGrid>
        <w:gridCol w:w="1500"/>
        <w:gridCol w:w="2600"/>
        <w:gridCol w:w="2600"/>
        <w:gridCol w:w="2300"/>
      </w:tblGrid>
      <w:tr>
        <w:trPr>
          <w:tblHeader/>
          <w:cantSplit/>
        </w:trPr>
        <w:tc>
          <w:tcPr>
            <w:tcW w:w="15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  <w:shd w:fill="1F4E78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b/>
                <w:color w:val="FFFFFF"/>
                <w:sz w:val="18"/>
                <w:szCs w:val="18"/>
              </w:rPr>
              <w:t xml:space="preserve">页面</w:t>
            </w:r>
          </w:p>
        </w:tc>
        <w:tc>
          <w:tcPr>
            <w:tcW w:w="26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  <w:shd w:fill="1F4E78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b/>
                <w:color w:val="FFFFFF"/>
                <w:sz w:val="18"/>
                <w:szCs w:val="18"/>
              </w:rPr>
              <w:t xml:space="preserve">路径</w:t>
            </w:r>
          </w:p>
        </w:tc>
        <w:tc>
          <w:tcPr>
            <w:tcW w:w="26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  <w:shd w:fill="1F4E78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b/>
                <w:color w:val="FFFFFF"/>
                <w:sz w:val="18"/>
                <w:szCs w:val="18"/>
              </w:rPr>
              <w:t xml:space="preserve">主要操作</w:t>
            </w:r>
          </w:p>
        </w:tc>
        <w:tc>
          <w:tcPr>
            <w:tcW w:w="23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  <w:shd w:fill="1F4E78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b/>
                <w:color w:val="FFFFFF"/>
                <w:sz w:val="18"/>
                <w:szCs w:val="18"/>
              </w:rPr>
              <w:t xml:space="preserve">关键字段/内容</w:t>
            </w:r>
          </w:p>
        </w:tc>
      </w:tr>
    </w:tbl>
    <w:p>
      <w:pPr>
        <w:pStyle w:val="Heading2"/>
        <w:keepNext/>
        <w:spacing w:after="100" w:line="320" w:lineRule="auto"/>
      </w:pPr>
      <w:r>
        <w:rPr>
          <w:rFonts w:ascii="宋体" w:hAnsi="宋体" w:eastAsia="宋体"/>
          <w:sz w:val="21"/>
          <w:szCs w:val="21"/>
        </w:rPr>
        <w:t xml:space="preserve">工艺管理</w:t>
      </w:r>
    </w:p>
    <w:p>
      <w:pPr>
        <w:spacing w:after="100" w:line="320" w:lineRule="auto"/>
      </w:pPr>
      <w:r>
        <w:rPr>
          <w:rFonts w:ascii="宋体" w:hAnsi="宋体" w:eastAsia="宋体"/>
          <w:sz w:val="21"/>
          <w:szCs w:val="21"/>
        </w:rPr>
        <w:t xml:space="preserve">用于 MES 业务管理和查询。</w:t>
      </w:r>
    </w:p>
    <w:tbl>
      <w:tblPr>
        <w:tblW w:w="9000" w:type="dxa"/>
        <w:tblLayout w:type="fixed"/>
        <w:tblBorders>
          <w:top w:val="single" w:sz="5" w:color="B4C6E7"/>
          <w:left w:val="single" w:sz="5" w:color="B4C6E7"/>
          <w:bottom w:val="single" w:sz="5" w:color="B4C6E7"/>
          <w:right w:val="single" w:sz="5" w:color="B4C6E7"/>
          <w:insideH w:val="single" w:sz="3" w:color="D9E2F3"/>
          <w:insideV w:val="single" w:sz="3" w:color="D9E2F3"/>
        </w:tblBorders>
      </w:tblPr>
      <w:tblGrid>
        <w:gridCol w:w="1500"/>
        <w:gridCol w:w="2600"/>
        <w:gridCol w:w="2600"/>
        <w:gridCol w:w="2300"/>
      </w:tblGrid>
      <w:tr>
        <w:trPr>
          <w:tblHeader/>
          <w:cantSplit/>
        </w:trPr>
        <w:tc>
          <w:tcPr>
            <w:tcW w:w="15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  <w:shd w:fill="1F4E78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b/>
                <w:color w:val="FFFFFF"/>
                <w:sz w:val="18"/>
                <w:szCs w:val="18"/>
              </w:rPr>
              <w:t xml:space="preserve">页面</w:t>
            </w:r>
          </w:p>
        </w:tc>
        <w:tc>
          <w:tcPr>
            <w:tcW w:w="26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  <w:shd w:fill="1F4E78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b/>
                <w:color w:val="FFFFFF"/>
                <w:sz w:val="18"/>
                <w:szCs w:val="18"/>
              </w:rPr>
              <w:t xml:space="preserve">路径</w:t>
            </w:r>
          </w:p>
        </w:tc>
        <w:tc>
          <w:tcPr>
            <w:tcW w:w="26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  <w:shd w:fill="1F4E78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b/>
                <w:color w:val="FFFFFF"/>
                <w:sz w:val="18"/>
                <w:szCs w:val="18"/>
              </w:rPr>
              <w:t xml:space="preserve">主要操作</w:t>
            </w:r>
          </w:p>
        </w:tc>
        <w:tc>
          <w:tcPr>
            <w:tcW w:w="23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  <w:shd w:fill="1F4E78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b/>
                <w:color w:val="FFFFFF"/>
                <w:sz w:val="18"/>
                <w:szCs w:val="18"/>
              </w:rPr>
              <w:t xml:space="preserve">关键字段/内容</w:t>
            </w:r>
          </w:p>
        </w:tc>
      </w:tr>
    </w:tbl>
    <w:p>
      <w:pPr>
        <w:pStyle w:val="Heading2"/>
        <w:keepNext/>
        <w:spacing w:after="100" w:line="320" w:lineRule="auto"/>
      </w:pPr>
      <w:r>
        <w:rPr>
          <w:rFonts w:ascii="宋体" w:hAnsi="宋体" w:eastAsia="宋体"/>
          <w:sz w:val="21"/>
          <w:szCs w:val="21"/>
        </w:rPr>
        <w:t xml:space="preserve">设备管理</w:t>
      </w:r>
    </w:p>
    <w:p>
      <w:pPr>
        <w:spacing w:after="100" w:line="320" w:lineRule="auto"/>
      </w:pPr>
      <w:r>
        <w:rPr>
          <w:rFonts w:ascii="宋体" w:hAnsi="宋体" w:eastAsia="宋体"/>
          <w:sz w:val="21"/>
          <w:szCs w:val="21"/>
        </w:rPr>
        <w:t xml:space="preserve">用于 MES 业务管理和查询。</w:t>
      </w:r>
    </w:p>
    <w:tbl>
      <w:tblPr>
        <w:tblW w:w="9000" w:type="dxa"/>
        <w:tblLayout w:type="fixed"/>
        <w:tblBorders>
          <w:top w:val="single" w:sz="5" w:color="B4C6E7"/>
          <w:left w:val="single" w:sz="5" w:color="B4C6E7"/>
          <w:bottom w:val="single" w:sz="5" w:color="B4C6E7"/>
          <w:right w:val="single" w:sz="5" w:color="B4C6E7"/>
          <w:insideH w:val="single" w:sz="3" w:color="D9E2F3"/>
          <w:insideV w:val="single" w:sz="3" w:color="D9E2F3"/>
        </w:tblBorders>
      </w:tblPr>
      <w:tblGrid>
        <w:gridCol w:w="1500"/>
        <w:gridCol w:w="2600"/>
        <w:gridCol w:w="2600"/>
        <w:gridCol w:w="2300"/>
      </w:tblGrid>
      <w:tr>
        <w:trPr>
          <w:tblHeader/>
          <w:cantSplit/>
        </w:trPr>
        <w:tc>
          <w:tcPr>
            <w:tcW w:w="15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  <w:shd w:fill="1F4E78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b/>
                <w:color w:val="FFFFFF"/>
                <w:sz w:val="18"/>
                <w:szCs w:val="18"/>
              </w:rPr>
              <w:t xml:space="preserve">页面</w:t>
            </w:r>
          </w:p>
        </w:tc>
        <w:tc>
          <w:tcPr>
            <w:tcW w:w="26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  <w:shd w:fill="1F4E78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b/>
                <w:color w:val="FFFFFF"/>
                <w:sz w:val="18"/>
                <w:szCs w:val="18"/>
              </w:rPr>
              <w:t xml:space="preserve">路径</w:t>
            </w:r>
          </w:p>
        </w:tc>
        <w:tc>
          <w:tcPr>
            <w:tcW w:w="26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  <w:shd w:fill="1F4E78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b/>
                <w:color w:val="FFFFFF"/>
                <w:sz w:val="18"/>
                <w:szCs w:val="18"/>
              </w:rPr>
              <w:t xml:space="preserve">主要操作</w:t>
            </w:r>
          </w:p>
        </w:tc>
        <w:tc>
          <w:tcPr>
            <w:tcW w:w="23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  <w:shd w:fill="1F4E78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b/>
                <w:color w:val="FFFFFF"/>
                <w:sz w:val="18"/>
                <w:szCs w:val="18"/>
              </w:rPr>
              <w:t xml:space="preserve">关键字段/内容</w:t>
            </w:r>
          </w:p>
        </w:tc>
      </w:tr>
    </w:tbl>
    <w:p>
      <w:pPr>
        <w:pStyle w:val="Heading2"/>
        <w:keepNext/>
        <w:spacing w:after="100" w:line="320" w:lineRule="auto"/>
      </w:pPr>
      <w:r>
        <w:rPr>
          <w:rFonts w:ascii="宋体" w:hAnsi="宋体" w:eastAsia="宋体"/>
          <w:sz w:val="21"/>
          <w:szCs w:val="21"/>
        </w:rPr>
        <w:t xml:space="preserve">销售订单管理</w:t>
      </w:r>
    </w:p>
    <w:p>
      <w:pPr>
        <w:spacing w:after="100" w:line="320" w:lineRule="auto"/>
      </w:pPr>
      <w:r>
        <w:rPr>
          <w:rFonts w:ascii="宋体" w:hAnsi="宋体" w:eastAsia="宋体"/>
          <w:sz w:val="21"/>
          <w:szCs w:val="21"/>
        </w:rPr>
        <w:t xml:space="preserve">用于 MES 业务管理和查询。</w:t>
      </w:r>
    </w:p>
    <w:tbl>
      <w:tblPr>
        <w:tblW w:w="9000" w:type="dxa"/>
        <w:tblLayout w:type="fixed"/>
        <w:tblBorders>
          <w:top w:val="single" w:sz="5" w:color="B4C6E7"/>
          <w:left w:val="single" w:sz="5" w:color="B4C6E7"/>
          <w:bottom w:val="single" w:sz="5" w:color="B4C6E7"/>
          <w:right w:val="single" w:sz="5" w:color="B4C6E7"/>
          <w:insideH w:val="single" w:sz="3" w:color="D9E2F3"/>
          <w:insideV w:val="single" w:sz="3" w:color="D9E2F3"/>
        </w:tblBorders>
      </w:tblPr>
      <w:tblGrid>
        <w:gridCol w:w="1500"/>
        <w:gridCol w:w="2600"/>
        <w:gridCol w:w="2600"/>
        <w:gridCol w:w="2300"/>
      </w:tblGrid>
      <w:tr>
        <w:trPr>
          <w:tblHeader/>
          <w:cantSplit/>
        </w:trPr>
        <w:tc>
          <w:tcPr>
            <w:tcW w:w="15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  <w:shd w:fill="1F4E78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b/>
                <w:color w:val="FFFFFF"/>
                <w:sz w:val="18"/>
                <w:szCs w:val="18"/>
              </w:rPr>
              <w:t xml:space="preserve">页面</w:t>
            </w:r>
          </w:p>
        </w:tc>
        <w:tc>
          <w:tcPr>
            <w:tcW w:w="26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  <w:shd w:fill="1F4E78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b/>
                <w:color w:val="FFFFFF"/>
                <w:sz w:val="18"/>
                <w:szCs w:val="18"/>
              </w:rPr>
              <w:t xml:space="preserve">路径</w:t>
            </w:r>
          </w:p>
        </w:tc>
        <w:tc>
          <w:tcPr>
            <w:tcW w:w="26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  <w:shd w:fill="1F4E78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b/>
                <w:color w:val="FFFFFF"/>
                <w:sz w:val="18"/>
                <w:szCs w:val="18"/>
              </w:rPr>
              <w:t xml:space="preserve">主要操作</w:t>
            </w:r>
          </w:p>
        </w:tc>
        <w:tc>
          <w:tcPr>
            <w:tcW w:w="23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  <w:shd w:fill="1F4E78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b/>
                <w:color w:val="FFFFFF"/>
                <w:sz w:val="18"/>
                <w:szCs w:val="18"/>
              </w:rPr>
              <w:t xml:space="preserve">关键字段/内容</w:t>
            </w:r>
          </w:p>
        </w:tc>
      </w:tr>
    </w:tbl>
    <w:p>
      <w:pPr>
        <w:pStyle w:val="Heading2"/>
        <w:keepNext/>
        <w:spacing w:after="100" w:line="320" w:lineRule="auto"/>
      </w:pPr>
      <w:r>
        <w:rPr>
          <w:rFonts w:ascii="宋体" w:hAnsi="宋体" w:eastAsia="宋体"/>
          <w:sz w:val="21"/>
          <w:szCs w:val="21"/>
        </w:rPr>
        <w:t xml:space="preserve">异常提醒</w:t>
      </w:r>
    </w:p>
    <w:p>
      <w:pPr>
        <w:spacing w:after="100" w:line="320" w:lineRule="auto"/>
      </w:pPr>
      <w:r>
        <w:rPr>
          <w:rFonts w:ascii="宋体" w:hAnsi="宋体" w:eastAsia="宋体"/>
          <w:sz w:val="21"/>
          <w:szCs w:val="21"/>
        </w:rPr>
        <w:t xml:space="preserve">用于 MES 业务管理和查询。</w:t>
      </w:r>
    </w:p>
    <w:tbl>
      <w:tblPr>
        <w:tblW w:w="9000" w:type="dxa"/>
        <w:tblLayout w:type="fixed"/>
        <w:tblBorders>
          <w:top w:val="single" w:sz="5" w:color="B4C6E7"/>
          <w:left w:val="single" w:sz="5" w:color="B4C6E7"/>
          <w:bottom w:val="single" w:sz="5" w:color="B4C6E7"/>
          <w:right w:val="single" w:sz="5" w:color="B4C6E7"/>
          <w:insideH w:val="single" w:sz="3" w:color="D9E2F3"/>
          <w:insideV w:val="single" w:sz="3" w:color="D9E2F3"/>
        </w:tblBorders>
      </w:tblPr>
      <w:tblGrid>
        <w:gridCol w:w="1500"/>
        <w:gridCol w:w="2600"/>
        <w:gridCol w:w="2600"/>
        <w:gridCol w:w="2300"/>
      </w:tblGrid>
      <w:tr>
        <w:trPr>
          <w:tblHeader/>
          <w:cantSplit/>
        </w:trPr>
        <w:tc>
          <w:tcPr>
            <w:tcW w:w="15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  <w:shd w:fill="1F4E78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b/>
                <w:color w:val="FFFFFF"/>
                <w:sz w:val="18"/>
                <w:szCs w:val="18"/>
              </w:rPr>
              <w:t xml:space="preserve">页面</w:t>
            </w:r>
          </w:p>
        </w:tc>
        <w:tc>
          <w:tcPr>
            <w:tcW w:w="26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  <w:shd w:fill="1F4E78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b/>
                <w:color w:val="FFFFFF"/>
                <w:sz w:val="18"/>
                <w:szCs w:val="18"/>
              </w:rPr>
              <w:t xml:space="preserve">路径</w:t>
            </w:r>
          </w:p>
        </w:tc>
        <w:tc>
          <w:tcPr>
            <w:tcW w:w="26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  <w:shd w:fill="1F4E78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b/>
                <w:color w:val="FFFFFF"/>
                <w:sz w:val="18"/>
                <w:szCs w:val="18"/>
              </w:rPr>
              <w:t xml:space="preserve">主要操作</w:t>
            </w:r>
          </w:p>
        </w:tc>
        <w:tc>
          <w:tcPr>
            <w:tcW w:w="23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  <w:shd w:fill="1F4E78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b/>
                <w:color w:val="FFFFFF"/>
                <w:sz w:val="18"/>
                <w:szCs w:val="18"/>
              </w:rPr>
              <w:t xml:space="preserve">关键字段/内容</w:t>
            </w:r>
          </w:p>
        </w:tc>
      </w:tr>
    </w:tbl>
    <w:p>
      <w:pPr>
        <w:pStyle w:val="Heading2"/>
        <w:keepNext/>
        <w:spacing w:after="100" w:line="320" w:lineRule="auto"/>
      </w:pPr>
      <w:r>
        <w:rPr>
          <w:rFonts w:ascii="宋体" w:hAnsi="宋体" w:eastAsia="宋体"/>
          <w:sz w:val="21"/>
          <w:szCs w:val="21"/>
        </w:rPr>
        <w:t xml:space="preserve">研发管理</w:t>
      </w:r>
    </w:p>
    <w:p>
      <w:pPr>
        <w:spacing w:after="100" w:line="320" w:lineRule="auto"/>
      </w:pPr>
      <w:r>
        <w:rPr>
          <w:rFonts w:ascii="宋体" w:hAnsi="宋体" w:eastAsia="宋体"/>
          <w:sz w:val="21"/>
          <w:szCs w:val="21"/>
        </w:rPr>
        <w:t xml:space="preserve">用于 MES 业务管理和查询。</w:t>
      </w:r>
    </w:p>
    <w:tbl>
      <w:tblPr>
        <w:tblW w:w="9000" w:type="dxa"/>
        <w:tblLayout w:type="fixed"/>
        <w:tblBorders>
          <w:top w:val="single" w:sz="5" w:color="B4C6E7"/>
          <w:left w:val="single" w:sz="5" w:color="B4C6E7"/>
          <w:bottom w:val="single" w:sz="5" w:color="B4C6E7"/>
          <w:right w:val="single" w:sz="5" w:color="B4C6E7"/>
          <w:insideH w:val="single" w:sz="3" w:color="D9E2F3"/>
          <w:insideV w:val="single" w:sz="3" w:color="D9E2F3"/>
        </w:tblBorders>
      </w:tblPr>
      <w:tblGrid>
        <w:gridCol w:w="1500"/>
        <w:gridCol w:w="2600"/>
        <w:gridCol w:w="2600"/>
        <w:gridCol w:w="2300"/>
      </w:tblGrid>
      <w:tr>
        <w:trPr>
          <w:tblHeader/>
          <w:cantSplit/>
        </w:trPr>
        <w:tc>
          <w:tcPr>
            <w:tcW w:w="15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  <w:shd w:fill="1F4E78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b/>
                <w:color w:val="FFFFFF"/>
                <w:sz w:val="18"/>
                <w:szCs w:val="18"/>
              </w:rPr>
              <w:t xml:space="preserve">页面</w:t>
            </w:r>
          </w:p>
        </w:tc>
        <w:tc>
          <w:tcPr>
            <w:tcW w:w="26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  <w:shd w:fill="1F4E78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b/>
                <w:color w:val="FFFFFF"/>
                <w:sz w:val="18"/>
                <w:szCs w:val="18"/>
              </w:rPr>
              <w:t xml:space="preserve">路径</w:t>
            </w:r>
          </w:p>
        </w:tc>
        <w:tc>
          <w:tcPr>
            <w:tcW w:w="26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  <w:shd w:fill="1F4E78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b/>
                <w:color w:val="FFFFFF"/>
                <w:sz w:val="18"/>
                <w:szCs w:val="18"/>
              </w:rPr>
              <w:t xml:space="preserve">主要操作</w:t>
            </w:r>
          </w:p>
        </w:tc>
        <w:tc>
          <w:tcPr>
            <w:tcW w:w="23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  <w:shd w:fill="1F4E78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b/>
                <w:color w:val="FFFFFF"/>
                <w:sz w:val="18"/>
                <w:szCs w:val="18"/>
              </w:rPr>
              <w:t xml:space="preserve">关键字段/内容</w:t>
            </w:r>
          </w:p>
        </w:tc>
      </w:tr>
    </w:tbl>
    <w:p>
      <w:pPr>
        <w:pStyle w:val="Heading1"/>
        <w:keepNext/>
        <w:pageBreakBefore/>
        <w:spacing w:after="100" w:line="320" w:lineRule="auto"/>
      </w:pPr>
      <w:r>
        <w:rPr>
          <w:rFonts w:ascii="宋体" w:hAnsi="宋体" w:eastAsia="宋体"/>
          <w:sz w:val="21"/>
          <w:szCs w:val="21"/>
        </w:rPr>
        <w:t xml:space="preserve">4. 各模块操作流程</w:t>
      </w:r>
    </w:p>
    <w:p>
      <w:pPr>
        <w:pStyle w:val="Heading2"/>
        <w:keepNext/>
        <w:spacing w:after="100" w:line="320" w:lineRule="auto"/>
      </w:pPr>
      <w:r>
        <w:rPr>
          <w:rFonts w:ascii="宋体" w:hAnsi="宋体" w:eastAsia="宋体"/>
          <w:sz w:val="21"/>
          <w:szCs w:val="21"/>
        </w:rPr>
        <w:t xml:space="preserve">系统管理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按页面筛选条件查询数据，选择记录后执行页面提供的操作。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涉及保存、删除、状态切换的操作必须先确认权限和回滚方式。</w:t>
      </w:r>
    </w:p>
    <w:p>
      <w:pPr>
        <w:pStyle w:val="Heading2"/>
        <w:keepNext/>
        <w:spacing w:after="100" w:line="320" w:lineRule="auto"/>
      </w:pPr>
      <w:r>
        <w:rPr>
          <w:rFonts w:ascii="宋体" w:hAnsi="宋体" w:eastAsia="宋体"/>
          <w:sz w:val="21"/>
          <w:szCs w:val="21"/>
        </w:rPr>
        <w:t xml:space="preserve">计划排产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按页面筛选条件查询数据，选择记录后执行页面提供的操作。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涉及保存、删除、状态切换的操作必须先确认权限和回滚方式。</w:t>
      </w:r>
    </w:p>
    <w:p>
      <w:pPr>
        <w:pStyle w:val="Heading2"/>
        <w:keepNext/>
        <w:spacing w:after="100" w:line="320" w:lineRule="auto"/>
      </w:pPr>
      <w:r>
        <w:rPr>
          <w:rFonts w:ascii="宋体" w:hAnsi="宋体" w:eastAsia="宋体"/>
          <w:sz w:val="21"/>
          <w:szCs w:val="21"/>
        </w:rPr>
        <w:t xml:space="preserve">生产管理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按页面筛选条件查询数据，选择记录后执行页面提供的操作。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涉及保存、删除、状态切换的操作必须先确认权限和回滚方式。</w:t>
      </w:r>
    </w:p>
    <w:p>
      <w:pPr>
        <w:pStyle w:val="Heading2"/>
        <w:keepNext/>
        <w:spacing w:after="100" w:line="320" w:lineRule="auto"/>
      </w:pPr>
      <w:r>
        <w:rPr>
          <w:rFonts w:ascii="宋体" w:hAnsi="宋体" w:eastAsia="宋体"/>
          <w:sz w:val="21"/>
          <w:szCs w:val="21"/>
        </w:rPr>
        <w:t xml:space="preserve">质量管理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按页面筛选条件查询数据，选择记录后执行页面提供的操作。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涉及保存、删除、状态切换的操作必须先确认权限和回滚方式。</w:t>
      </w:r>
    </w:p>
    <w:p>
      <w:pPr>
        <w:pStyle w:val="Heading2"/>
        <w:keepNext/>
        <w:spacing w:after="100" w:line="320" w:lineRule="auto"/>
      </w:pPr>
      <w:r>
        <w:rPr>
          <w:rFonts w:ascii="宋体" w:hAnsi="宋体" w:eastAsia="宋体"/>
          <w:sz w:val="21"/>
          <w:szCs w:val="21"/>
        </w:rPr>
        <w:t xml:space="preserve">工艺管理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按页面筛选条件查询数据，选择记录后执行页面提供的操作。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涉及保存、删除、状态切换的操作必须先确认权限和回滚方式。</w:t>
      </w:r>
    </w:p>
    <w:p>
      <w:pPr>
        <w:pStyle w:val="Heading2"/>
        <w:keepNext/>
        <w:spacing w:after="100" w:line="320" w:lineRule="auto"/>
      </w:pPr>
      <w:r>
        <w:rPr>
          <w:rFonts w:ascii="宋体" w:hAnsi="宋体" w:eastAsia="宋体"/>
          <w:sz w:val="21"/>
          <w:szCs w:val="21"/>
        </w:rPr>
        <w:t xml:space="preserve">设备管理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按页面筛选条件查询数据，选择记录后执行页面提供的操作。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涉及保存、删除、状态切换的操作必须先确认权限和回滚方式。</w:t>
      </w:r>
    </w:p>
    <w:p>
      <w:pPr>
        <w:pStyle w:val="Heading2"/>
        <w:keepNext/>
        <w:spacing w:after="100" w:line="320" w:lineRule="auto"/>
      </w:pPr>
      <w:r>
        <w:rPr>
          <w:rFonts w:ascii="宋体" w:hAnsi="宋体" w:eastAsia="宋体"/>
          <w:sz w:val="21"/>
          <w:szCs w:val="21"/>
        </w:rPr>
        <w:t xml:space="preserve">销售订单管理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按页面筛选条件查询数据，选择记录后执行页面提供的操作。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涉及保存、删除、状态切换的操作必须先确认权限和回滚方式。</w:t>
      </w:r>
    </w:p>
    <w:p>
      <w:pPr>
        <w:pStyle w:val="Heading2"/>
        <w:keepNext/>
        <w:spacing w:after="100" w:line="320" w:lineRule="auto"/>
      </w:pPr>
      <w:r>
        <w:rPr>
          <w:rFonts w:ascii="宋体" w:hAnsi="宋体" w:eastAsia="宋体"/>
          <w:sz w:val="21"/>
          <w:szCs w:val="21"/>
        </w:rPr>
        <w:t xml:space="preserve">异常提醒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按页面筛选条件查询数据，选择记录后执行页面提供的操作。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涉及保存、删除、状态切换的操作必须先确认权限和回滚方式。</w:t>
      </w:r>
    </w:p>
    <w:p>
      <w:pPr>
        <w:pStyle w:val="Heading2"/>
        <w:keepNext/>
        <w:spacing w:after="100" w:line="320" w:lineRule="auto"/>
      </w:pPr>
      <w:r>
        <w:rPr>
          <w:rFonts w:ascii="宋体" w:hAnsi="宋体" w:eastAsia="宋体"/>
          <w:sz w:val="21"/>
          <w:szCs w:val="21"/>
        </w:rPr>
        <w:t xml:space="preserve">研发管理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按页面筛选条件查询数据，选择记录后执行页面提供的操作。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涉及保存、删除、状态切换的操作必须先确认权限和回滚方式。</w:t>
      </w:r>
    </w:p>
    <w:p>
      <w:pPr>
        <w:pStyle w:val="Heading1"/>
        <w:keepNext/>
        <w:pageBreakBefore/>
        <w:spacing w:after="100" w:line="320" w:lineRule="auto"/>
      </w:pPr>
      <w:r>
        <w:rPr>
          <w:rFonts w:ascii="宋体" w:hAnsi="宋体" w:eastAsia="宋体"/>
          <w:sz w:val="21"/>
          <w:szCs w:val="21"/>
        </w:rPr>
        <w:t xml:space="preserve">5. 重点业务流程</w:t>
      </w:r>
    </w:p>
    <w:p>
      <w:pPr>
        <w:pStyle w:val="Heading2"/>
        <w:keepNext/>
        <w:spacing w:after="100" w:line="320" w:lineRule="auto"/>
      </w:pPr>
      <w:r>
        <w:rPr>
          <w:rFonts w:ascii="宋体" w:hAnsi="宋体" w:eastAsia="宋体"/>
          <w:sz w:val="21"/>
          <w:szCs w:val="21"/>
        </w:rPr>
        <w:t xml:space="preserve">排产与装配任务</w:t>
      </w:r>
    </w:p>
    <w:p>
      <w:pPr>
        <w:spacing w:after="8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1. </w:t>
      </w:r>
      <w:r>
        <w:rPr>
          <w:rFonts w:ascii="宋体" w:hAnsi="宋体" w:eastAsia="宋体"/>
          <w:sz w:val="21"/>
          <w:szCs w:val="21"/>
        </w:rPr>
        <w:t xml:space="preserve">按订单、物料、日期和状态查询，再执行排产、派工或优先级操作。</w:t>
      </w:r>
    </w:p>
    <w:p>
      <w:pPr>
        <w:spacing w:after="8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2. </w:t>
      </w:r>
      <w:r>
        <w:rPr>
          <w:rFonts w:ascii="宋体" w:hAnsi="宋体" w:eastAsia="宋体"/>
          <w:sz w:val="21"/>
          <w:szCs w:val="21"/>
        </w:rPr>
        <w:t xml:space="preserve">系统类/阀类装配任务的预算工时手工输入，进度由任务或质检工时除以预算自动计算。</w:t>
      </w:r>
    </w:p>
    <w:p>
      <w:pPr>
        <w:spacing w:after="8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3. </w:t>
      </w:r>
      <w:r>
        <w:rPr>
          <w:rFonts w:ascii="宋体" w:hAnsi="宋体" w:eastAsia="宋体"/>
          <w:sz w:val="21"/>
          <w:szCs w:val="21"/>
        </w:rPr>
        <w:t xml:space="preserve">批量操作后到已排产、工位任务汇总和齐套跟踪结果复核。</w:t>
      </w:r>
    </w:p>
    <w:p>
      <w:pPr>
        <w:pStyle w:val="Heading2"/>
        <w:keepNext/>
        <w:spacing w:after="100" w:line="320" w:lineRule="auto"/>
      </w:pPr>
      <w:r>
        <w:rPr>
          <w:rFonts w:ascii="宋体" w:hAnsi="宋体" w:eastAsia="宋体"/>
          <w:sz w:val="21"/>
          <w:szCs w:val="21"/>
        </w:rPr>
        <w:t xml:space="preserve">工艺维护与下发</w:t>
      </w:r>
    </w:p>
    <w:p>
      <w:pPr>
        <w:spacing w:after="8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1. </w:t>
      </w:r>
      <w:r>
        <w:rPr>
          <w:rFonts w:ascii="宋体" w:hAnsi="宋体" w:eastAsia="宋体"/>
          <w:sz w:val="21"/>
          <w:szCs w:val="21"/>
        </w:rPr>
        <w:t xml:space="preserve">维护工序和标准工艺，再生成/编辑生产工艺。</w:t>
      </w:r>
    </w:p>
    <w:p>
      <w:pPr>
        <w:spacing w:after="8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2. </w:t>
      </w:r>
      <w:r>
        <w:rPr>
          <w:rFonts w:ascii="宋体" w:hAnsi="宋体" w:eastAsia="宋体"/>
          <w:sz w:val="21"/>
          <w:szCs w:val="21"/>
        </w:rPr>
        <w:t xml:space="preserve">确认工序顺序、准备工时、标准工时、工装量具、机床和车间。</w:t>
      </w:r>
    </w:p>
    <w:p>
      <w:pPr>
        <w:spacing w:after="8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3. </w:t>
      </w:r>
      <w:r>
        <w:rPr>
          <w:rFonts w:ascii="宋体" w:hAnsi="宋体" w:eastAsia="宋体"/>
          <w:sz w:val="21"/>
          <w:szCs w:val="21"/>
        </w:rPr>
        <w:t xml:space="preserve">下发任务前确认订单、工艺版本和目标工序。</w:t>
      </w:r>
    </w:p>
    <w:p>
      <w:pPr>
        <w:pStyle w:val="Heading2"/>
        <w:keepNext/>
        <w:spacing w:after="100" w:line="320" w:lineRule="auto"/>
      </w:pPr>
      <w:r>
        <w:rPr>
          <w:rFonts w:ascii="宋体" w:hAnsi="宋体" w:eastAsia="宋体"/>
          <w:sz w:val="21"/>
          <w:szCs w:val="21"/>
        </w:rPr>
        <w:t xml:space="preserve">加工中心与装配中心</w:t>
      </w:r>
    </w:p>
    <w:p>
      <w:pPr>
        <w:spacing w:after="8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1. </w:t>
      </w:r>
      <w:r>
        <w:rPr>
          <w:rFonts w:ascii="宋体" w:hAnsi="宋体" w:eastAsia="宋体"/>
          <w:sz w:val="21"/>
          <w:szCs w:val="21"/>
        </w:rPr>
        <w:t xml:space="preserve">按工位、人员、班次和任务状态查询。</w:t>
      </w:r>
    </w:p>
    <w:p>
      <w:pPr>
        <w:spacing w:after="8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2. </w:t>
      </w:r>
      <w:r>
        <w:rPr>
          <w:rFonts w:ascii="宋体" w:hAnsi="宋体" w:eastAsia="宋体"/>
          <w:sz w:val="21"/>
          <w:szCs w:val="21"/>
        </w:rPr>
        <w:t xml:space="preserve">按业务顺序执行收料、开工、暂停/恢复、报工、送检和异常处理。</w:t>
      </w:r>
    </w:p>
    <w:p>
      <w:pPr>
        <w:spacing w:after="8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3. </w:t>
      </w:r>
      <w:r>
        <w:rPr>
          <w:rFonts w:ascii="宋体" w:hAnsi="宋体" w:eastAsia="宋体"/>
          <w:sz w:val="21"/>
          <w:szCs w:val="21"/>
        </w:rPr>
        <w:t xml:space="preserve">操作完成后核对任务状态、工时、数量和最后编辑人。</w:t>
      </w:r>
    </w:p>
    <w:p>
      <w:pPr>
        <w:pStyle w:val="Heading2"/>
        <w:keepNext/>
        <w:spacing w:after="100" w:line="320" w:lineRule="auto"/>
      </w:pPr>
      <w:r>
        <w:rPr>
          <w:rFonts w:ascii="宋体" w:hAnsi="宋体" w:eastAsia="宋体"/>
          <w:sz w:val="21"/>
          <w:szCs w:val="21"/>
        </w:rPr>
        <w:t xml:space="preserve">质量检验与不合格品</w:t>
      </w:r>
    </w:p>
    <w:p>
      <w:pPr>
        <w:spacing w:after="8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1. </w:t>
      </w:r>
      <w:r>
        <w:rPr>
          <w:rFonts w:ascii="宋体" w:hAnsi="宋体" w:eastAsia="宋体"/>
          <w:sz w:val="21"/>
          <w:szCs w:val="21"/>
        </w:rPr>
        <w:t xml:space="preserve">根据业务节点进入终检、序检、收检、采购入库检、退库检或其他入库检。</w:t>
      </w:r>
    </w:p>
    <w:p>
      <w:pPr>
        <w:spacing w:after="8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2. </w:t>
      </w:r>
      <w:r>
        <w:rPr>
          <w:rFonts w:ascii="宋体" w:hAnsi="宋体" w:eastAsia="宋体"/>
          <w:sz w:val="21"/>
          <w:szCs w:val="21"/>
        </w:rPr>
        <w:t xml:space="preserve">录入检测项目、实测值、判定、合格数和不合格数。</w:t>
      </w:r>
    </w:p>
    <w:p>
      <w:pPr>
        <w:spacing w:after="8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3. </w:t>
      </w:r>
      <w:r>
        <w:rPr>
          <w:rFonts w:ascii="宋体" w:hAnsi="宋体" w:eastAsia="宋体"/>
          <w:sz w:val="21"/>
          <w:szCs w:val="21"/>
        </w:rPr>
        <w:t xml:space="preserve">不合格结果进入不合格品处置并保留操作记录。</w:t>
      </w:r>
    </w:p>
    <w:p>
      <w:pPr>
        <w:pStyle w:val="Heading2"/>
        <w:keepNext/>
        <w:spacing w:after="100" w:line="320" w:lineRule="auto"/>
      </w:pPr>
      <w:r>
        <w:rPr>
          <w:rFonts w:ascii="宋体" w:hAnsi="宋体" w:eastAsia="宋体"/>
          <w:sz w:val="21"/>
          <w:szCs w:val="21"/>
        </w:rPr>
        <w:t xml:space="preserve">人员、角色、菜单和工位</w:t>
      </w:r>
    </w:p>
    <w:p>
      <w:pPr>
        <w:spacing w:after="8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1. </w:t>
      </w:r>
      <w:r>
        <w:rPr>
          <w:rFonts w:ascii="宋体" w:hAnsi="宋体" w:eastAsia="宋体"/>
          <w:sz w:val="21"/>
          <w:szCs w:val="21"/>
        </w:rPr>
        <w:t xml:space="preserve">先维护人员和角色，再配置菜单权限。</w:t>
      </w:r>
    </w:p>
    <w:p>
      <w:pPr>
        <w:spacing w:after="8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2. </w:t>
      </w:r>
      <w:r>
        <w:rPr>
          <w:rFonts w:ascii="宋体" w:hAnsi="宋体" w:eastAsia="宋体"/>
          <w:sz w:val="21"/>
          <w:szCs w:val="21"/>
        </w:rPr>
        <w:t xml:space="preserve">权限修改后使用目标账号重新登录验证。</w:t>
      </w:r>
    </w:p>
    <w:p>
      <w:pPr>
        <w:spacing w:after="8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3. </w:t>
      </w:r>
      <w:r>
        <w:rPr>
          <w:rFonts w:ascii="宋体" w:hAnsi="宋体" w:eastAsia="宋体"/>
          <w:sz w:val="21"/>
          <w:szCs w:val="21"/>
        </w:rPr>
        <w:t xml:space="preserve">菜单变更前确认路由组件存在。</w:t>
      </w:r>
    </w:p>
    <w:p>
      <w:pPr>
        <w:pStyle w:val="Heading1"/>
        <w:keepNext/>
        <w:pageBreakBefore/>
        <w:spacing w:after="100" w:line="320" w:lineRule="auto"/>
      </w:pPr>
      <w:r>
        <w:rPr>
          <w:rFonts w:ascii="宋体" w:hAnsi="宋体" w:eastAsia="宋体"/>
          <w:sz w:val="21"/>
          <w:szCs w:val="21"/>
        </w:rPr>
        <w:t xml:space="preserve">6. 权限、安全与问题定位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按钮权限来自角色的 AddData、DeleteData、EditData、SearchData 等字段。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测试环境 B1/TM 语义 POST/PATCH 在网络请求前拦截，不通过放开写权限排查连通性。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页面问题先定位 src/views/&lt;模块&gt;/&lt;页面&gt;/index.vue，再查 CreateData 过程名和参数。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通用接口入口为 src/utils/request.js、src/utils/curd.js；动态菜单入口为 src/router/getTreeData.js。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数据库问题先检查过程是否存在、参数数量、写入特征和外部依赖，再决定修改前端还是数据库过程。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不要将密码、Token、生产业务数据或导出文件提交到代码仓库。</w:t>
      </w:r>
    </w:p>
    <w:p>
      <w:pPr>
        <w:pStyle w:val="Heading1"/>
        <w:keepNext/>
        <w:pageBreakBefore/>
        <w:spacing w:after="100" w:line="320" w:lineRule="auto"/>
      </w:pPr>
      <w:r>
        <w:rPr>
          <w:rFonts w:ascii="宋体" w:hAnsi="宋体" w:eastAsia="宋体"/>
          <w:sz w:val="21"/>
          <w:szCs w:val="21"/>
        </w:rPr>
        <w:t xml:space="preserve">7. 全量扫描结果与已知风险</w:t>
      </w:r>
    </w:p>
    <w:tbl>
      <w:tblPr>
        <w:tblW w:w="9000" w:type="dxa"/>
        <w:tblLayout w:type="fixed"/>
        <w:tblBorders>
          <w:top w:val="single" w:sz="5" w:color="B4C6E7"/>
          <w:left w:val="single" w:sz="5" w:color="B4C6E7"/>
          <w:bottom w:val="single" w:sz="5" w:color="B4C6E7"/>
          <w:right w:val="single" w:sz="5" w:color="B4C6E7"/>
          <w:insideH w:val="single" w:sz="3" w:color="D9E2F3"/>
          <w:insideV w:val="single" w:sz="3" w:color="D9E2F3"/>
        </w:tblBorders>
      </w:tblPr>
      <w:tblGrid>
        <w:gridCol w:w="2600"/>
        <w:gridCol w:w="6400"/>
      </w:tblGrid>
      <w:tr>
        <w:trPr>
          <w:tblHeader/>
          <w:cantSplit/>
        </w:trPr>
        <w:tc>
          <w:tcPr>
            <w:tcW w:w="26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  <w:shd w:fill="1F4E78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b/>
                <w:color w:val="FFFFFF"/>
                <w:sz w:val="18"/>
                <w:szCs w:val="18"/>
              </w:rPr>
              <w:t xml:space="preserve">项目</w:t>
            </w:r>
          </w:p>
        </w:tc>
        <w:tc>
          <w:tcPr>
            <w:tcW w:w="64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  <w:shd w:fill="1F4E78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b/>
                <w:color w:val="FFFFFF"/>
                <w:sz w:val="18"/>
                <w:szCs w:val="18"/>
              </w:rPr>
              <w:t xml:space="preserve">结果</w:t>
            </w:r>
          </w:p>
        </w:tc>
      </w:tr>
      <w:tr>
        <w:trPr>
          <w:cantSplit/>
        </w:trPr>
        <w:tc>
          <w:tcPr>
            <w:tcW w:w="26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sz w:val="18"/>
                <w:szCs w:val="18"/>
              </w:rPr>
              <w:t xml:space="preserve">前端源码</w:t>
            </w:r>
          </w:p>
        </w:tc>
        <w:tc>
          <w:tcPr>
            <w:tcW w:w="64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sz w:val="18"/>
                <w:szCs w:val="18"/>
              </w:rPr>
              <w:t xml:space="preserve">185 个源码文件：108 个 Vue、77 个 JS</w:t>
            </w:r>
          </w:p>
        </w:tc>
      </w:tr>
      <w:tr>
        <w:trPr>
          <w:cantSplit/>
        </w:trPr>
        <w:tc>
          <w:tcPr>
            <w:tcW w:w="26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  <w:shd w:fill="D9EAF7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sz w:val="18"/>
                <w:szCs w:val="18"/>
              </w:rPr>
              <w:t xml:space="preserve">存储过程调用</w:t>
            </w:r>
          </w:p>
        </w:tc>
        <w:tc>
          <w:tcPr>
            <w:tcW w:w="64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  <w:shd w:fill="D9EAF7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sz w:val="18"/>
                <w:szCs w:val="18"/>
              </w:rPr>
              <w:t xml:space="preserve">772 次 CreateData，281 个唯一字面量过程，6 次动态调用待人工复核</w:t>
            </w:r>
          </w:p>
        </w:tc>
      </w:tr>
      <w:tr>
        <w:trPr>
          <w:cantSplit/>
        </w:trPr>
        <w:tc>
          <w:tcPr>
            <w:tcW w:w="26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sz w:val="18"/>
                <w:szCs w:val="18"/>
              </w:rPr>
              <w:t xml:space="preserve">数据库对象</w:t>
            </w:r>
          </w:p>
        </w:tc>
        <w:tc>
          <w:tcPr>
            <w:tcW w:w="64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sz w:val="18"/>
                <w:szCs w:val="18"/>
              </w:rPr>
              <w:t xml:space="preserve">432 个过程、63 张表、27 个视图</w:t>
            </w:r>
          </w:p>
        </w:tc>
      </w:tr>
      <w:tr>
        <w:trPr>
          <w:cantSplit/>
        </w:trPr>
        <w:tc>
          <w:tcPr>
            <w:tcW w:w="26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  <w:shd w:fill="D9EAF7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sz w:val="18"/>
                <w:szCs w:val="18"/>
              </w:rPr>
              <w:t xml:space="preserve">前端/数据库差异</w:t>
            </w:r>
          </w:p>
        </w:tc>
        <w:tc>
          <w:tcPr>
            <w:tcW w:w="64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  <w:shd w:fill="D9EAF7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sz w:val="18"/>
                <w:szCs w:val="18"/>
              </w:rPr>
              <w:t xml:space="preserve">14 个前端调用在测试库找不到同名过程；另有数据库过程可能来自事件、定时任务或历史功能</w:t>
            </w:r>
          </w:p>
        </w:tc>
      </w:tr>
      <w:tr>
        <w:trPr>
          <w:cantSplit/>
        </w:trPr>
        <w:tc>
          <w:tcPr>
            <w:tcW w:w="26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sz w:val="18"/>
                <w:szCs w:val="18"/>
              </w:rPr>
              <w:t xml:space="preserve">外部集成</w:t>
            </w:r>
          </w:p>
        </w:tc>
        <w:tc>
          <w:tcPr>
            <w:tcW w:w="64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>
            <w:pPr>
              <w:spacing w:after="0" w:line="260" w:lineRule="auto"/>
            </w:pPr>
            <w:r>
              <w:rPr>
                <w:rFonts w:ascii="宋体" w:hAnsi="宋体" w:eastAsia="宋体"/>
                <w:sz w:val="18"/>
                <w:szCs w:val="18"/>
              </w:rPr>
              <w:t xml:space="preserve">B1 GET/POST/PATCH=18/20/18；TM GET/POST/PATCH=1/7/1</w:t>
            </w:r>
          </w:p>
        </w:tc>
      </w:tr>
    </w:tbl>
    <w:p>
      <w:pPr>
        <w:pStyle w:val="Heading2"/>
        <w:keepNext/>
        <w:spacing w:after="100" w:line="320" w:lineRule="auto"/>
      </w:pPr>
      <w:r>
        <w:rPr>
          <w:rFonts w:ascii="宋体" w:hAnsi="宋体" w:eastAsia="宋体"/>
          <w:sz w:val="21"/>
          <w:szCs w:val="21"/>
        </w:rPr>
        <w:t xml:space="preserve">前端调用但测试库缺失的过程</w:t>
      </w:r>
    </w:p>
    <w:p>
      <w:pPr>
        <w:spacing w:after="80" w:line="320" w:lineRule="auto"/>
      </w:pPr>
      <w:r>
        <w:rPr>
          <w:rFonts w:ascii="宋体" w:hAnsi="宋体" w:eastAsia="宋体"/>
          <w:sz w:val="21"/>
          <w:szCs w:val="21"/>
        </w:rPr>
        <w:t xml:space="preserve">以下过程必须按部署版本、动态调用、历史页面和测试库差异逐项确认，不能直接判定为页面故障：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查询零件号（src/views/QualityManagement/QualityStandardQuery/index copy.vue）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产品关系_变更节点排序（src/views/CraftManagement/CraftMaintain/index.vue）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登录基础数据_人员信息_切换是否用户（src/views/SystemMaintenance/PersonnelManagement/index.vue）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Prog_MES_SingleTaskPlanned（src/views/ProductionManagement/ProductionTaskManage/index.vue）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WEB_报警查询_未读报警记录_查询（src/views/layout/components/Navbar.vue）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WEB_报警查询_未读报警记录_未读条数查询（src/views/layout/components/Navbar.vue）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WEB_基本表_产品结构_查询（src/views/CraftManagement/CraftMaintain/index.vue）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WEB_基本表_产品结构_删除（src/views/CraftManagement/CraftMaintain/index.vue）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WEB_基本表_产品结构_新增（src/views/CraftManagement/CraftMaintain/index.vue）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WEB_基本表_产品结构_修改（src/views/CraftManagement/CraftMaintain/index.vue）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WEB_人员设备查看权限_查询（src/views/SystemMaintenance/PersonnelManagement/index.vue）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WEB_人员设备查看权限_权限切换（src/views/SystemMaintenance/PersonnelManagement/index.vue）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WEB_人员摄像头查看权限_权限切换（src/views/SystemMaintenance/PersonnelManagement/index.vue）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WEB_摄像头查看权限_查询（src/views/SystemMaintenance/PersonnelManagement/index.vue）</w:t>
      </w:r>
    </w:p>
    <w:p>
      <w:pPr>
        <w:pStyle w:val="Heading1"/>
        <w:keepNext/>
        <w:pageBreakBefore/>
        <w:spacing w:after="100" w:line="320" w:lineRule="auto"/>
      </w:pPr>
      <w:r>
        <w:rPr>
          <w:rFonts w:ascii="宋体" w:hAnsi="宋体" w:eastAsia="宋体"/>
          <w:sz w:val="21"/>
          <w:szCs w:val="21"/>
        </w:rPr>
        <w:t xml:space="preserve">8. 交付清单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本用户手册：doc/MES后台网页版用户操作手册_V1.0_20260725.docx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Markdown 版：doc/MES后台网页版用户操作手册_V1.0_20260725.md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菜单清单：work/menu_inventory_role1.csv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页面 UI 清单：work/page_ui_inventory_role1_20260725.csv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前端过程调用清单：work/frontend_procedure_call_inventory_20260725.csv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数据库过程清单：work/database_procedure_inventory_20260725.csv</w:t>
      </w:r>
    </w:p>
    <w:p>
      <w:pPr>
        <w:spacing w:after="70" w:line="320" w:lineRule="auto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前端/数据库差异清单：work/frontend_calls_missing_db_procedure_20260725.csv</w:t>
      </w:r>
    </w:p>
    <w:tbl>
      <w:tblPr>
        <w:tblW w:w="9000" w:type="dxa"/>
        <w:tblBorders>
          <w:top w:val="single" w:sz="5" w:color="BF8F00"/>
          <w:left w:val="single" w:sz="5" w:color="BF8F00"/>
          <w:bottom w:val="single" w:sz="5" w:color="BF8F00"/>
          <w:right w:val="single" w:sz="5" w:color="BF8F00"/>
        </w:tblBorders>
      </w:tblPr>
      <w:tblGrid>
        <w:gridCol w:w="9000"/>
      </w:tblGrid>
      <w:tr>
        <w:trPr>
          <w:cantSplit/>
        </w:trPr>
        <w:tc>
          <w:tcPr>
            <w:tcW w:w="9000" w:type="dxa"/>
            <w:shd w:fill="FFF2CC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70" w:line="320" w:lineRule="auto"/>
            </w:pPr>
            <w:r>
              <w:rPr>
                <w:rFonts w:ascii="微软雅黑" w:hAnsi="微软雅黑" w:eastAsia="微软雅黑"/>
                <w:b/>
                <w:color w:val="BF8F00"/>
                <w:sz w:val="22"/>
                <w:szCs w:val="22"/>
              </w:rPr>
              <w:t xml:space="preserve">手册状态</w:t>
            </w:r>
          </w:p>
          <w:p>
            <w:pPr>
              <w:spacing w:after="0" w:line="32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这是基于源码、菜单和数据库静态盘点生成的 V1.0。涉及真实业务写入的页面，仍需在隔离数据上由业务负责人完成验收后，才能标记为生产可用。</w:t>
            </w:r>
          </w:p>
        </w:tc>
      </w:tr>
    </w:tbl>
    <w:sectPr>
      <w:headerReference w:type="default" r:id="rId1"/>
      <w:footerReference w:type="default" r:id="rId2"/>
      <w:pgSz w:w="11906" w:h="16838"/>
      <w:pgMar w:top="1360" w:right="1360" w:bottom="1360" w:left="1360" w:header="650" w:footer="650" w:gutter="0"/>
      <w:cols w:space="720"/>
    </w:sectPr>
  </w:body>
</w:document>
</file>

<file path=word/footer1.xml><?xml version="1.0" encoding="utf-8"?>
<w:ftr xmlns:w="http://schemas.openxmlformats.org/wordprocessingml/2006/main">
  <w:p>
    <w:pPr>
      <w:jc w:val="center"/>
    </w:pPr>
    <w:r>
      <w:rPr>
        <w:rFonts w:ascii="宋体" w:hAnsi="宋体" w:eastAsia="宋体"/>
        <w:color w:val="666666"/>
        <w:sz w:val="16"/>
        <w:szCs w:val="16"/>
      </w:rPr>
      <w:t xml:space="preserve">内部资料  |  第 </w:t>
    </w:r>
    <w:fldSimple w:instr="PAGE">
      <w:r>
        <w:rPr>
          <w:sz w:val="16"/>
          <w:color w:val="666666"/>
        </w:rPr>
        <w:t>1</w:t>
      </w:r>
    </w:fldSimple>
    <w:r>
      <w:rPr>
        <w:rFonts w:ascii="宋体" w:hAnsi="宋体" w:eastAsia="宋体"/>
        <w:color w:val="666666"/>
        <w:sz w:val="16"/>
        <w:szCs w:val="16"/>
      </w:rPr>
      <w:t xml:space="preserve"> 页</w:t>
    </w:r>
  </w:p>
</w:ftr>
</file>

<file path=word/header1.xml><?xml version="1.0" encoding="utf-8"?>
<w:hdr xmlns:w="http://schemas.openxmlformats.org/wordprocessingml/2006/main">
  <w:p>
    <w:pPr>
      <w:jc w:val="right"/>
    </w:pPr>
    <w:r>
      <w:rPr>
        <w:rFonts w:ascii="微软雅黑" w:hAnsi="微软雅黑" w:eastAsia="微软雅黑"/>
        <w:color w:val="666666"/>
        <w:sz w:val="16"/>
        <w:szCs w:val="16"/>
      </w:rPr>
      <w:t xml:space="preserve">大连元利流体技术有限公司  |  MES 后台网页版用户操作手册</w:t>
    </w:r>
  </w:p>
</w:hdr>
</file>

<file path=word/styles.xml><?xml version="1.0" encoding="utf-8"?>
<w:styles xmlns:w="http://schemas.openxmlformats.org/wordprocessingml/2006/main">
  <w:docDefaults>
    <w:rPrDefault>
      <w:rPr>
        <w:rFonts w:ascii="宋体" w:hAnsi="宋体" w:eastAsia="宋体"/>
        <w:sz w:val="20"/>
        <w:szCs w:val="20"/>
        <w:lang w:val="zh-CN" w:eastAsia="zh-CN"/>
      </w:rPr>
    </w:rPrDefault>
    <w:pPrDefault>
      <w:pPr>
        <w:spacing w:after="100" w:line="320" w:lineRule="auto"/>
      </w:pPr>
    </w:pPrDefault>
  </w:docDefaults>
  <w:style w:type="paragraph" w:default="1" w:styleId="Normal">
    <w:name w:val="正文"/>
    <w:rPr>
      <w:rFonts w:ascii="宋体" w:hAnsi="宋体" w:eastAsia="宋体"/>
      <w:sz w:val="20"/>
      <w:szCs w:val="20"/>
    </w:rPr>
  </w:style>
  <w:style w:type="paragraph" w:styleId="Heading1">
    <w:name w:val="标题 1"/>
    <w:basedOn w:val="Normal"/>
    <w:next w:val="Normal"/>
    <w:qFormat/>
    <w:pPr>
      <w:keepNext/>
      <w:spacing w:before="300" w:after="150"/>
      <w:outlineLvl w:val="0"/>
    </w:pPr>
    <w:rPr>
      <w:rFonts w:ascii="微软雅黑" w:hAnsi="微软雅黑" w:eastAsia="微软雅黑"/>
      <w:b/>
      <w:color w:val="17365D"/>
      <w:sz w:val="30"/>
      <w:szCs w:val="30"/>
    </w:rPr>
  </w:style>
  <w:style w:type="paragraph" w:styleId="Heading2">
    <w:name w:val="标题 2"/>
    <w:basedOn w:val="Normal"/>
    <w:next w:val="Normal"/>
    <w:qFormat/>
    <w:pPr>
      <w:keepNext/>
      <w:spacing w:before="220" w:after="100"/>
      <w:outlineLvl w:val="1"/>
    </w:pPr>
    <w:rPr>
      <w:rFonts w:ascii="微软雅黑" w:hAnsi="微软雅黑" w:eastAsia="微软雅黑"/>
      <w:b/>
      <w:color w:val="1F4E78"/>
      <w:sz w:val="25"/>
      <w:szCs w:val="25"/>
    </w:rPr>
  </w:style>
  <w:style w:type="paragraph" w:styleId="Heading3">
    <w:name w:val="标题 3"/>
    <w:basedOn w:val="Normal"/>
    <w:next w:val="Normal"/>
    <w:qFormat/>
    <w:pPr>
      <w:keepNext/>
      <w:spacing w:before="160" w:after="80"/>
      <w:outlineLvl w:val="2"/>
    </w:pPr>
    <w:rPr>
      <w:rFonts w:ascii="微软雅黑" w:hAnsi="微软雅黑" w:eastAsia="微软雅黑"/>
      <w:b/>
      <w:color w:val="666666"/>
      <w:sz w:val="22"/>
      <w:szCs w:val="22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header" Target="header1.xml"/><Relationship Id="rId2" Type="http://schemas.openxmlformats.org/officeDocument/2006/relationships/footer" Target="footer1.xml"/><Relationship Id="rId3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>
  <Application>Microsoft Office Word</Application>
  <AppVersion>16.0000</AppVersion>
  <Company>大连元利流体技术有限公司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MES 后台网页版用户操作手册</dc:title>
  <dc:subject>MES 测试环境用户操作与功能定位</dc:subject>
  <dc:creator>MES 接管维护</dc:creator>
  <cp:lastModifiedBy>MES 接管维护</cp:lastModifiedBy>
  <dcterms:created xsi:type="dcterms:W3CDTF">2026-07-25T08:00:00Z</dcterms:created>
  <dcterms:modified xsi:type="dcterms:W3CDTF">2026-07-25T08:00:00Z</dcterms:modified>
</cp:coreProperties>
</file>