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4F73B">
      <w:pPr>
        <w:bidi w:val="0"/>
        <w:spacing w:before="1160" w:after="240"/>
        <w:ind w:firstLine="0"/>
        <w:jc w:val="center"/>
        <w:rPr>
          <w:rFonts w:hint="eastAsia" w:cs="Arial"/>
          <w:b/>
          <w:color w:val="314A8F"/>
          <w:sz w:val="36"/>
          <w:lang w:eastAsia="zh-CN"/>
        </w:rPr>
      </w:pPr>
      <w:r>
        <w:rPr>
          <w:rFonts w:hint="eastAsia" w:cs="Arial"/>
          <w:b/>
          <w:color w:val="314A8F"/>
          <w:sz w:val="36"/>
          <w:lang w:eastAsia="zh-CN"/>
        </w:rPr>
        <w:t>大连元利流体技术有限公司</w:t>
      </w:r>
    </w:p>
    <w:p w14:paraId="33497576">
      <w:pPr>
        <w:bidi w:val="0"/>
        <w:spacing w:before="1360" w:after="320"/>
        <w:ind w:firstLine="0"/>
        <w:jc w:val="center"/>
        <w:rPr>
          <w:rFonts w:hint="eastAsia" w:cs="Arial"/>
          <w:b/>
          <w:color w:val="2A3551"/>
          <w:sz w:val="56"/>
          <w:lang w:eastAsia="zh-CN"/>
        </w:rPr>
      </w:pPr>
      <w:r>
        <w:rPr>
          <w:rFonts w:hint="eastAsia" w:cs="Arial"/>
          <w:b/>
          <w:color w:val="2A3551"/>
          <w:sz w:val="56"/>
          <w:lang w:eastAsia="zh-CN"/>
        </w:rPr>
        <w:t>MES 系统标准设计文档</w:t>
      </w:r>
    </w:p>
    <w:p w14:paraId="456AE262">
      <w:pPr>
        <w:bidi w:val="0"/>
        <w:spacing w:after="1160"/>
        <w:ind w:firstLine="0"/>
        <w:jc w:val="center"/>
        <w:rPr>
          <w:rFonts w:hint="eastAsia" w:cs="Arial"/>
          <w:b w:val="0"/>
          <w:color w:val="4F596B"/>
          <w:sz w:val="30"/>
          <w:lang w:eastAsia="zh-CN"/>
        </w:rPr>
      </w:pPr>
      <w:r>
        <w:rPr>
          <w:rFonts w:hint="eastAsia" w:cs="Arial"/>
          <w:b w:val="0"/>
          <w:color w:val="4F596B"/>
          <w:sz w:val="30"/>
          <w:lang w:eastAsia="zh-CN"/>
        </w:rPr>
        <w:t>System Design Specification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8"/>
        <w:gridCol w:w="6237"/>
      </w:tblGrid>
      <w:tr w14:paraId="4443D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2268" w:type="dxa"/>
            <w:vAlign w:val="center"/>
          </w:tcPr>
          <w:p w14:paraId="7F62BEC1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4F596B"/>
                <w:sz w:val="19"/>
                <w:vertAlign w:val="baseline"/>
                <w:lang w:eastAsia="zh-CN"/>
              </w:rPr>
              <w:t>设计基线</w:t>
            </w:r>
          </w:p>
        </w:tc>
        <w:tc>
          <w:tcPr>
            <w:tcW w:w="6237" w:type="dxa"/>
            <w:vAlign w:val="center"/>
          </w:tcPr>
          <w:p w14:paraId="2E8AA2C7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4F596B"/>
                <w:sz w:val="19"/>
                <w:vertAlign w:val="baseline"/>
                <w:lang w:eastAsia="zh-CN"/>
              </w:rPr>
              <w:t>内容</w:t>
            </w:r>
          </w:p>
        </w:tc>
      </w:tr>
      <w:tr w14:paraId="195C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290A8DF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文档编号</w:t>
            </w:r>
          </w:p>
        </w:tc>
        <w:tc>
          <w:tcPr>
            <w:tcW w:w="6237" w:type="dxa"/>
            <w:vAlign w:val="center"/>
          </w:tcPr>
          <w:p w14:paraId="26EFC08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YL-MES-DESIGN-001</w:t>
            </w:r>
          </w:p>
        </w:tc>
      </w:tr>
      <w:tr w14:paraId="25F8F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20C96BE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系统版本</w:t>
            </w:r>
          </w:p>
        </w:tc>
        <w:tc>
          <w:tcPr>
            <w:tcW w:w="6237" w:type="dxa"/>
            <w:vAlign w:val="center"/>
          </w:tcPr>
          <w:p w14:paraId="249FD95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V1.1.0</w:t>
            </w:r>
          </w:p>
        </w:tc>
      </w:tr>
      <w:tr w14:paraId="79B5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03D18E2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文档版本</w:t>
            </w:r>
          </w:p>
        </w:tc>
        <w:tc>
          <w:tcPr>
            <w:tcW w:w="6237" w:type="dxa"/>
            <w:vAlign w:val="center"/>
          </w:tcPr>
          <w:p w14:paraId="206567E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V1.1</w:t>
            </w:r>
          </w:p>
        </w:tc>
      </w:tr>
      <w:tr w14:paraId="22FA6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7D9094C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基线日期</w:t>
            </w:r>
          </w:p>
        </w:tc>
        <w:tc>
          <w:tcPr>
            <w:tcW w:w="6237" w:type="dxa"/>
            <w:vAlign w:val="center"/>
          </w:tcPr>
          <w:p w14:paraId="424B383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2026-07-24</w:t>
            </w:r>
          </w:p>
        </w:tc>
      </w:tr>
      <w:tr w14:paraId="3A14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022776F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设计性质</w:t>
            </w:r>
          </w:p>
        </w:tc>
        <w:tc>
          <w:tcPr>
            <w:tcW w:w="6237" w:type="dxa"/>
            <w:vAlign w:val="center"/>
          </w:tcPr>
          <w:p w14:paraId="313634C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系统总体设计与详细设计基线</w:t>
            </w:r>
          </w:p>
        </w:tc>
      </w:tr>
      <w:tr w14:paraId="5FFC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33CC6C2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适用对象</w:t>
            </w:r>
          </w:p>
        </w:tc>
        <w:tc>
          <w:tcPr>
            <w:tcW w:w="6237" w:type="dxa"/>
            <w:vAlign w:val="center"/>
          </w:tcPr>
          <w:p w14:paraId="6C113A3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4F596B"/>
                <w:sz w:val="19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19"/>
                <w:vertAlign w:val="baseline"/>
                <w:lang w:eastAsia="zh-CN"/>
              </w:rPr>
              <w:t>架构、开发、实施、测试、运维和业务负责人</w:t>
            </w:r>
          </w:p>
        </w:tc>
      </w:tr>
    </w:tbl>
    <w:p w14:paraId="7A89260F">
      <w:pPr>
        <w:bidi w:val="0"/>
        <w:spacing w:after="1160"/>
        <w:ind w:firstLine="0"/>
        <w:jc w:val="center"/>
        <w:rPr>
          <w:rFonts w:hint="default" w:cs="Arial"/>
          <w:b w:val="0"/>
          <w:color w:val="4F596B"/>
          <w:sz w:val="30"/>
          <w:lang w:eastAsia="zh-CN"/>
        </w:rPr>
      </w:pPr>
    </w:p>
    <w:p w14:paraId="15AB51F8">
      <w:pPr>
        <w:bidi w:val="0"/>
        <w:spacing w:before="400" w:after="0"/>
        <w:ind w:firstLine="0"/>
        <w:jc w:val="center"/>
        <w:rPr>
          <w:rFonts w:hint="eastAsia" w:cs="Arial"/>
          <w:b w:val="0"/>
          <w:color w:val="666666"/>
          <w:sz w:val="20"/>
          <w:lang w:eastAsia="zh-CN"/>
        </w:rPr>
      </w:pPr>
      <w:r>
        <w:rPr>
          <w:rFonts w:hint="eastAsia" w:cs="Arial"/>
          <w:b w:val="0"/>
          <w:color w:val="666666"/>
          <w:sz w:val="20"/>
          <w:lang w:eastAsia="zh-CN"/>
        </w:rPr>
        <w:t>本文档描述 MES 系统的目标、边界、设计决策、业务域、数据模型、接口契约、状态机、非功能指标和验收基线。实现技术细节、现有过程名称和源码定位以《标准技术文档》为准。</w:t>
      </w:r>
    </w:p>
    <w:p w14:paraId="06D4B0DE">
      <w:pPr>
        <w:rPr>
          <w:rFonts w:hint="default" w:cs="Arial"/>
          <w:b w:val="0"/>
          <w:color w:val="666666"/>
          <w:sz w:val="20"/>
          <w:lang w:eastAsia="zh-CN"/>
        </w:rPr>
      </w:pPr>
      <w:r>
        <w:rPr>
          <w:rFonts w:hint="default" w:cs="Arial"/>
          <w:b w:val="0"/>
          <w:color w:val="666666"/>
          <w:sz w:val="20"/>
          <w:lang w:eastAsia="zh-CN"/>
        </w:rPr>
        <w:br w:type="page"/>
      </w:r>
    </w:p>
    <w:p w14:paraId="158DF025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1 设计总则</w:t>
      </w:r>
    </w:p>
    <w:p w14:paraId="0F0180AA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1.1 设计目标</w:t>
      </w:r>
    </w:p>
    <w:p w14:paraId="31F26C09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以订单、物料、工艺、资源、任务、质量和工时为核心对象，形成可追溯的制造执行闭环。</w:t>
      </w:r>
    </w:p>
    <w:p w14:paraId="45461D24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将业务规则集中在服务端过程和领域边界内，前端负责交互、校验提示和视图编排。</w:t>
      </w:r>
    </w:p>
    <w:p w14:paraId="2CEA198E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通过角色、菜单、按钮和数据范围实现最小权限，所有关键变更可审计、可回退。</w:t>
      </w:r>
    </w:p>
    <w:p w14:paraId="240FECB9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在不改变 SAP B1 主数据权威性的前提下，建立 MES 车间执行状态和异常反馈能力。</w:t>
      </w:r>
    </w:p>
    <w:p w14:paraId="7EF4691A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1.2 设计原则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4649"/>
        <w:gridCol w:w="2835"/>
      </w:tblGrid>
      <w:tr w14:paraId="294BD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701" w:type="dxa"/>
            <w:vAlign w:val="center"/>
          </w:tcPr>
          <w:p w14:paraId="01FA1E7D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原则</w:t>
            </w:r>
          </w:p>
        </w:tc>
        <w:tc>
          <w:tcPr>
            <w:tcW w:w="4649" w:type="dxa"/>
            <w:vAlign w:val="center"/>
          </w:tcPr>
          <w:p w14:paraId="7000C5D0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设计要求</w:t>
            </w:r>
          </w:p>
        </w:tc>
        <w:tc>
          <w:tcPr>
            <w:tcW w:w="2835" w:type="dxa"/>
            <w:vAlign w:val="center"/>
          </w:tcPr>
          <w:p w14:paraId="22B0DDD4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验收证据</w:t>
            </w:r>
          </w:p>
        </w:tc>
      </w:tr>
      <w:tr w14:paraId="7E892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76744F4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单一事实源</w:t>
            </w:r>
          </w:p>
        </w:tc>
        <w:tc>
          <w:tcPr>
            <w:tcW w:w="4649" w:type="dxa"/>
            <w:vAlign w:val="center"/>
          </w:tcPr>
          <w:p w14:paraId="184251E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订单和物料以 SAP/接口主数据为源，执行事实以 MES 记录为源</w:t>
            </w:r>
          </w:p>
        </w:tc>
        <w:tc>
          <w:tcPr>
            <w:tcW w:w="2835" w:type="dxa"/>
            <w:vAlign w:val="center"/>
          </w:tcPr>
          <w:p w14:paraId="45020ED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主数据对账、字段映射表</w:t>
            </w:r>
          </w:p>
        </w:tc>
      </w:tr>
      <w:tr w14:paraId="6BC61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4D4056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状态可追溯</w:t>
            </w:r>
          </w:p>
        </w:tc>
        <w:tc>
          <w:tcPr>
            <w:tcW w:w="4649" w:type="dxa"/>
            <w:vAlign w:val="center"/>
          </w:tcPr>
          <w:p w14:paraId="0520898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状态变更必须有前置状态、操作人、时间和来源</w:t>
            </w:r>
          </w:p>
        </w:tc>
        <w:tc>
          <w:tcPr>
            <w:tcW w:w="2835" w:type="dxa"/>
            <w:vAlign w:val="center"/>
          </w:tcPr>
          <w:p w14:paraId="0BD72A1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操作日志、状态流转测试</w:t>
            </w:r>
          </w:p>
        </w:tc>
      </w:tr>
      <w:tr w14:paraId="09BE6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32B372D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边界清晰</w:t>
            </w:r>
          </w:p>
        </w:tc>
        <w:tc>
          <w:tcPr>
            <w:tcW w:w="4649" w:type="dxa"/>
            <w:vAlign w:val="center"/>
          </w:tcPr>
          <w:p w14:paraId="59AF1AD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模块通过稳定对象和过程契约协作，不直接修改他域数据</w:t>
            </w:r>
          </w:p>
        </w:tc>
        <w:tc>
          <w:tcPr>
            <w:tcW w:w="2835" w:type="dxa"/>
            <w:vAlign w:val="center"/>
          </w:tcPr>
          <w:p w14:paraId="0C653C2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依赖矩阵、接口清单</w:t>
            </w:r>
          </w:p>
        </w:tc>
      </w:tr>
      <w:tr w14:paraId="5B7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5FDF548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可恢复</w:t>
            </w:r>
          </w:p>
        </w:tc>
        <w:tc>
          <w:tcPr>
            <w:tcW w:w="4649" w:type="dxa"/>
            <w:vAlign w:val="center"/>
          </w:tcPr>
          <w:p w14:paraId="748C52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数据库、文件、配置和发布包均有备份和回退路径</w:t>
            </w:r>
          </w:p>
        </w:tc>
        <w:tc>
          <w:tcPr>
            <w:tcW w:w="2835" w:type="dxa"/>
            <w:vAlign w:val="center"/>
          </w:tcPr>
          <w:p w14:paraId="264094F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恢复演练记录</w:t>
            </w:r>
          </w:p>
        </w:tc>
      </w:tr>
      <w:tr w14:paraId="0B0EA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D92279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默认安全</w:t>
            </w:r>
          </w:p>
        </w:tc>
        <w:tc>
          <w:tcPr>
            <w:tcW w:w="4649" w:type="dxa"/>
            <w:vAlign w:val="center"/>
          </w:tcPr>
          <w:p w14:paraId="04E987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服务端鉴权、参数校验、白名单和审计优先于前端限制</w:t>
            </w:r>
          </w:p>
        </w:tc>
        <w:tc>
          <w:tcPr>
            <w:tcW w:w="2835" w:type="dxa"/>
            <w:vAlign w:val="center"/>
          </w:tcPr>
          <w:p w14:paraId="03303B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权限穿透测试、审计记录</w:t>
            </w:r>
          </w:p>
        </w:tc>
      </w:tr>
    </w:tbl>
    <w:p w14:paraId="7F958CBC">
      <w:pPr>
        <w:bidi w:val="0"/>
        <w:rPr>
          <w:rFonts w:hint="default"/>
          <w:lang w:eastAsia="zh-CN"/>
        </w:rPr>
      </w:pPr>
    </w:p>
    <w:p w14:paraId="4C77E7D9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1.3 范围与不在范围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4649"/>
        <w:gridCol w:w="2835"/>
      </w:tblGrid>
      <w:tr w14:paraId="64320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701" w:type="dxa"/>
            <w:vAlign w:val="center"/>
          </w:tcPr>
          <w:p w14:paraId="2F25CE5C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范围</w:t>
            </w:r>
          </w:p>
        </w:tc>
        <w:tc>
          <w:tcPr>
            <w:tcW w:w="4649" w:type="dxa"/>
            <w:vAlign w:val="center"/>
          </w:tcPr>
          <w:p w14:paraId="01A70087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纳入内容</w:t>
            </w:r>
          </w:p>
        </w:tc>
        <w:tc>
          <w:tcPr>
            <w:tcW w:w="2835" w:type="dxa"/>
            <w:vAlign w:val="center"/>
          </w:tcPr>
          <w:p w14:paraId="414D1AAE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不纳入内容</w:t>
            </w:r>
          </w:p>
        </w:tc>
      </w:tr>
      <w:tr w14:paraId="4FA70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2E58FB1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纳入</w:t>
            </w:r>
          </w:p>
        </w:tc>
        <w:tc>
          <w:tcPr>
            <w:tcW w:w="4649" w:type="dxa"/>
            <w:vAlign w:val="center"/>
          </w:tcPr>
          <w:p w14:paraId="6B1C83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MES Web、MESCommonBase、SQL Server、文件服务、SAP B1/TM/AGV/设备集成</w:t>
            </w:r>
          </w:p>
        </w:tc>
        <w:tc>
          <w:tcPr>
            <w:tcW w:w="2835" w:type="dxa"/>
            <w:vAlign w:val="center"/>
          </w:tcPr>
          <w:p w14:paraId="2BE2A9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MES 之外系统内部实现</w:t>
            </w:r>
          </w:p>
        </w:tc>
      </w:tr>
      <w:tr w14:paraId="46433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519286C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纳入</w:t>
            </w:r>
          </w:p>
        </w:tc>
        <w:tc>
          <w:tcPr>
            <w:tcW w:w="4649" w:type="dxa"/>
            <w:vAlign w:val="center"/>
          </w:tcPr>
          <w:p w14:paraId="7F90F39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生产计划、工艺、生产执行、质量、工时、设备、研发和看板</w:t>
            </w:r>
          </w:p>
        </w:tc>
        <w:tc>
          <w:tcPr>
            <w:tcW w:w="2835" w:type="dxa"/>
            <w:vAlign w:val="center"/>
          </w:tcPr>
          <w:p w14:paraId="39606B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ERP 财务总账和人力资源主系统</w:t>
            </w:r>
          </w:p>
        </w:tc>
      </w:tr>
      <w:tr w14:paraId="2AECA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23A1C0E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约束</w:t>
            </w:r>
          </w:p>
        </w:tc>
        <w:tc>
          <w:tcPr>
            <w:tcW w:w="4649" w:type="dxa"/>
            <w:vAlign w:val="center"/>
          </w:tcPr>
          <w:p w14:paraId="70EE568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正式环境只按审批后的脚本和发布包变更</w:t>
            </w:r>
          </w:p>
        </w:tc>
        <w:tc>
          <w:tcPr>
            <w:tcW w:w="2835" w:type="dxa"/>
            <w:vAlign w:val="center"/>
          </w:tcPr>
          <w:p w14:paraId="563550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直接在正式库手工改业务数据</w:t>
            </w:r>
          </w:p>
        </w:tc>
      </w:tr>
    </w:tbl>
    <w:p w14:paraId="7F71A5F9">
      <w:pPr>
        <w:bidi w:val="0"/>
        <w:rPr>
          <w:rFonts w:hint="default"/>
          <w:lang w:eastAsia="zh-CN"/>
        </w:rPr>
      </w:pPr>
    </w:p>
    <w:p w14:paraId="54C57382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14E9FD50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2 需求与业务域设计</w:t>
      </w:r>
    </w:p>
    <w:p w14:paraId="732CBC08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2.1 业务域划分</w:t>
      </w:r>
    </w:p>
    <w:tbl>
      <w:tblPr>
        <w:tblStyle w:val="8"/>
        <w:tblW w:w="9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3402"/>
        <w:gridCol w:w="2268"/>
        <w:gridCol w:w="1814"/>
      </w:tblGrid>
      <w:tr w14:paraId="26024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701" w:type="dxa"/>
            <w:vAlign w:val="center"/>
          </w:tcPr>
          <w:p w14:paraId="10850F3E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业务域</w:t>
            </w:r>
          </w:p>
        </w:tc>
        <w:tc>
          <w:tcPr>
            <w:tcW w:w="3402" w:type="dxa"/>
            <w:vAlign w:val="center"/>
          </w:tcPr>
          <w:p w14:paraId="40927721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职责边界</w:t>
            </w:r>
          </w:p>
        </w:tc>
        <w:tc>
          <w:tcPr>
            <w:tcW w:w="2268" w:type="dxa"/>
            <w:vAlign w:val="center"/>
          </w:tcPr>
          <w:p w14:paraId="2218F2F4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核心对象</w:t>
            </w:r>
          </w:p>
        </w:tc>
        <w:tc>
          <w:tcPr>
            <w:tcW w:w="1814" w:type="dxa"/>
            <w:vAlign w:val="center"/>
          </w:tcPr>
          <w:p w14:paraId="030159D3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输出</w:t>
            </w:r>
          </w:p>
        </w:tc>
      </w:tr>
      <w:tr w14:paraId="45A10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70BF070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主数据与权限</w:t>
            </w:r>
          </w:p>
        </w:tc>
        <w:tc>
          <w:tcPr>
            <w:tcW w:w="3402" w:type="dxa"/>
            <w:vAlign w:val="center"/>
          </w:tcPr>
          <w:p w14:paraId="3318B26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人员、角色、菜单、工位、设备和基础参数</w:t>
            </w:r>
          </w:p>
        </w:tc>
        <w:tc>
          <w:tcPr>
            <w:tcW w:w="2268" w:type="dxa"/>
            <w:vAlign w:val="center"/>
          </w:tcPr>
          <w:p w14:paraId="284155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人员、角色、资源</w:t>
            </w:r>
          </w:p>
        </w:tc>
        <w:tc>
          <w:tcPr>
            <w:tcW w:w="1814" w:type="dxa"/>
            <w:vAlign w:val="center"/>
          </w:tcPr>
          <w:p w14:paraId="4FB1E9C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可访问菜单和资源上下文</w:t>
            </w:r>
          </w:p>
        </w:tc>
      </w:tr>
      <w:tr w14:paraId="766EC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1DE05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工艺工程</w:t>
            </w:r>
          </w:p>
        </w:tc>
        <w:tc>
          <w:tcPr>
            <w:tcW w:w="3402" w:type="dxa"/>
            <w:vAlign w:val="center"/>
          </w:tcPr>
          <w:p w14:paraId="45CBFE7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标准工艺、生产工艺、工序、图纸和工艺任务</w:t>
            </w:r>
          </w:p>
        </w:tc>
        <w:tc>
          <w:tcPr>
            <w:tcW w:w="2268" w:type="dxa"/>
            <w:vAlign w:val="center"/>
          </w:tcPr>
          <w:p w14:paraId="4F8A5D7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工序、工艺版本、图纸</w:t>
            </w:r>
          </w:p>
        </w:tc>
        <w:tc>
          <w:tcPr>
            <w:tcW w:w="1814" w:type="dxa"/>
            <w:vAlign w:val="center"/>
          </w:tcPr>
          <w:p w14:paraId="5DBF9D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可下发的订单工艺路线</w:t>
            </w:r>
          </w:p>
        </w:tc>
      </w:tr>
      <w:tr w14:paraId="3637D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5AA047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  <w:tc>
          <w:tcPr>
            <w:tcW w:w="3402" w:type="dxa"/>
            <w:vAlign w:val="center"/>
          </w:tcPr>
          <w:p w14:paraId="78F7F04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按工艺和资源安排数量、工位、人员、日期</w:t>
            </w:r>
          </w:p>
        </w:tc>
        <w:tc>
          <w:tcPr>
            <w:tcW w:w="2268" w:type="dxa"/>
            <w:vAlign w:val="center"/>
          </w:tcPr>
          <w:p w14:paraId="75ABD8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订单、工序任务、排产记录</w:t>
            </w:r>
          </w:p>
        </w:tc>
        <w:tc>
          <w:tcPr>
            <w:tcW w:w="1814" w:type="dxa"/>
            <w:vAlign w:val="center"/>
          </w:tcPr>
          <w:p w14:paraId="2D9596B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未排产/已排产计划</w:t>
            </w:r>
          </w:p>
        </w:tc>
      </w:tr>
      <w:tr w14:paraId="72F2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CE2E6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生产执行</w:t>
            </w:r>
          </w:p>
        </w:tc>
        <w:tc>
          <w:tcPr>
            <w:tcW w:w="3402" w:type="dxa"/>
            <w:vAlign w:val="center"/>
          </w:tcPr>
          <w:p w14:paraId="6188E7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收料、开工、暂停、报工、送检、完工</w:t>
            </w:r>
          </w:p>
        </w:tc>
        <w:tc>
          <w:tcPr>
            <w:tcW w:w="2268" w:type="dxa"/>
            <w:vAlign w:val="center"/>
          </w:tcPr>
          <w:p w14:paraId="6C23EB7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任务、操作记录、报工记录</w:t>
            </w:r>
          </w:p>
        </w:tc>
        <w:tc>
          <w:tcPr>
            <w:tcW w:w="1814" w:type="dxa"/>
            <w:vAlign w:val="center"/>
          </w:tcPr>
          <w:p w14:paraId="704DC2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实时生产状态和完成数量</w:t>
            </w:r>
          </w:p>
        </w:tc>
      </w:tr>
      <w:tr w14:paraId="053AE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7B3857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  <w:tc>
          <w:tcPr>
            <w:tcW w:w="3402" w:type="dxa"/>
            <w:vAlign w:val="center"/>
          </w:tcPr>
          <w:p w14:paraId="5E98BB8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检验标准、实测值、不合格处置和质量统计</w:t>
            </w:r>
          </w:p>
        </w:tc>
        <w:tc>
          <w:tcPr>
            <w:tcW w:w="2268" w:type="dxa"/>
            <w:vAlign w:val="center"/>
          </w:tcPr>
          <w:p w14:paraId="0A2224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检验任务、结果、处置单</w:t>
            </w:r>
          </w:p>
        </w:tc>
        <w:tc>
          <w:tcPr>
            <w:tcW w:w="1814" w:type="dxa"/>
            <w:vAlign w:val="center"/>
          </w:tcPr>
          <w:p w14:paraId="7CDDBE6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合格/返工/让步/报废结论</w:t>
            </w:r>
          </w:p>
        </w:tc>
      </w:tr>
      <w:tr w14:paraId="00E8B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489FF67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工时与成本</w:t>
            </w:r>
          </w:p>
        </w:tc>
        <w:tc>
          <w:tcPr>
            <w:tcW w:w="3402" w:type="dxa"/>
            <w:vAlign w:val="center"/>
          </w:tcPr>
          <w:p w14:paraId="1C2186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操作工时、辅助工时、校验、修正、结算</w:t>
            </w:r>
          </w:p>
        </w:tc>
        <w:tc>
          <w:tcPr>
            <w:tcW w:w="2268" w:type="dxa"/>
            <w:vAlign w:val="center"/>
          </w:tcPr>
          <w:p w14:paraId="4CBA5EF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工时记录、校验记录</w:t>
            </w:r>
          </w:p>
        </w:tc>
        <w:tc>
          <w:tcPr>
            <w:tcW w:w="1814" w:type="dxa"/>
            <w:vAlign w:val="center"/>
          </w:tcPr>
          <w:p w14:paraId="0F6EC4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可信工时和成本数据</w:t>
            </w:r>
          </w:p>
        </w:tc>
      </w:tr>
      <w:tr w14:paraId="3AF18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589847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集成与交付</w:t>
            </w:r>
          </w:p>
        </w:tc>
        <w:tc>
          <w:tcPr>
            <w:tcW w:w="3402" w:type="dxa"/>
            <w:vAlign w:val="center"/>
          </w:tcPr>
          <w:p w14:paraId="67F85F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ERP、库存、AGV、设备、文件和发货状态协同</w:t>
            </w:r>
          </w:p>
        </w:tc>
        <w:tc>
          <w:tcPr>
            <w:tcW w:w="2268" w:type="dxa"/>
            <w:vAlign w:val="center"/>
          </w:tcPr>
          <w:p w14:paraId="6DD713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接口消息、附件、交付状态</w:t>
            </w:r>
          </w:p>
        </w:tc>
        <w:tc>
          <w:tcPr>
            <w:tcW w:w="1814" w:type="dxa"/>
            <w:vAlign w:val="center"/>
          </w:tcPr>
          <w:p w14:paraId="66E1DB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对账结果和交付视图</w:t>
            </w:r>
          </w:p>
        </w:tc>
      </w:tr>
    </w:tbl>
    <w:p w14:paraId="1D88B9FC">
      <w:pPr>
        <w:bidi w:val="0"/>
        <w:rPr>
          <w:rFonts w:hint="default"/>
          <w:lang w:eastAsia="zh-CN"/>
        </w:rPr>
      </w:pPr>
    </w:p>
    <w:p w14:paraId="1B201A8E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2.2 角色与责任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3402"/>
        <w:gridCol w:w="3799"/>
      </w:tblGrid>
      <w:tr w14:paraId="4E4E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984" w:type="dxa"/>
            <w:vAlign w:val="center"/>
          </w:tcPr>
          <w:p w14:paraId="0D035649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角色</w:t>
            </w:r>
          </w:p>
        </w:tc>
        <w:tc>
          <w:tcPr>
            <w:tcW w:w="3402" w:type="dxa"/>
            <w:vAlign w:val="center"/>
          </w:tcPr>
          <w:p w14:paraId="66C2C42E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允许的设计范围</w:t>
            </w:r>
          </w:p>
        </w:tc>
        <w:tc>
          <w:tcPr>
            <w:tcW w:w="3799" w:type="dxa"/>
            <w:vAlign w:val="center"/>
          </w:tcPr>
          <w:p w14:paraId="596ABBC4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关键责任</w:t>
            </w:r>
          </w:p>
        </w:tc>
      </w:tr>
      <w:tr w14:paraId="71FC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4EB049A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系统管理员</w:t>
            </w:r>
          </w:p>
        </w:tc>
        <w:tc>
          <w:tcPr>
            <w:tcW w:w="3402" w:type="dxa"/>
            <w:vAlign w:val="center"/>
          </w:tcPr>
          <w:p w14:paraId="529F6C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账号、角色、菜单、工位和基础配置</w:t>
            </w:r>
          </w:p>
        </w:tc>
        <w:tc>
          <w:tcPr>
            <w:tcW w:w="3799" w:type="dxa"/>
            <w:vAlign w:val="center"/>
          </w:tcPr>
          <w:p w14:paraId="1C1F88A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权限审批、账号生命周期、审计</w:t>
            </w:r>
          </w:p>
        </w:tc>
      </w:tr>
      <w:tr w14:paraId="1060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042FE2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工艺工程师</w:t>
            </w:r>
          </w:p>
        </w:tc>
        <w:tc>
          <w:tcPr>
            <w:tcW w:w="3402" w:type="dxa"/>
            <w:vAlign w:val="center"/>
          </w:tcPr>
          <w:p w14:paraId="0C9FB7E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工序、标准工艺、生产工艺、图纸</w:t>
            </w:r>
          </w:p>
        </w:tc>
        <w:tc>
          <w:tcPr>
            <w:tcW w:w="3799" w:type="dxa"/>
            <w:vAlign w:val="center"/>
          </w:tcPr>
          <w:p w14:paraId="0EE28D8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工艺版本、启用状态、变更说明</w:t>
            </w:r>
          </w:p>
        </w:tc>
      </w:tr>
      <w:tr w14:paraId="4C7A7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0D2E5B8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计划员</w:t>
            </w:r>
          </w:p>
        </w:tc>
        <w:tc>
          <w:tcPr>
            <w:tcW w:w="3402" w:type="dxa"/>
            <w:vAlign w:val="center"/>
          </w:tcPr>
          <w:p w14:paraId="337056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排产、派工、计划时间和外协分组</w:t>
            </w:r>
          </w:p>
        </w:tc>
        <w:tc>
          <w:tcPr>
            <w:tcW w:w="3799" w:type="dxa"/>
            <w:vAlign w:val="center"/>
          </w:tcPr>
          <w:p w14:paraId="297DFCA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资源冲突、计划冻结和调整原因</w:t>
            </w:r>
          </w:p>
        </w:tc>
      </w:tr>
      <w:tr w14:paraId="4F03F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51D9D81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班组长/操作员</w:t>
            </w:r>
          </w:p>
        </w:tc>
        <w:tc>
          <w:tcPr>
            <w:tcW w:w="3402" w:type="dxa"/>
            <w:vAlign w:val="center"/>
          </w:tcPr>
          <w:p w14:paraId="71DD018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任务执行、报工、送检和异常说明</w:t>
            </w:r>
          </w:p>
        </w:tc>
        <w:tc>
          <w:tcPr>
            <w:tcW w:w="3799" w:type="dxa"/>
            <w:vAlign w:val="center"/>
          </w:tcPr>
          <w:p w14:paraId="7DD3E2D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真实记录现场事实，不代录他人</w:t>
            </w:r>
          </w:p>
        </w:tc>
      </w:tr>
      <w:tr w14:paraId="140A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16CBF3A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质量人员</w:t>
            </w:r>
          </w:p>
        </w:tc>
        <w:tc>
          <w:tcPr>
            <w:tcW w:w="3402" w:type="dxa"/>
            <w:vAlign w:val="center"/>
          </w:tcPr>
          <w:p w14:paraId="569DB6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标准、检验、判定和不合格处置</w:t>
            </w:r>
          </w:p>
        </w:tc>
        <w:tc>
          <w:tcPr>
            <w:tcW w:w="3799" w:type="dxa"/>
            <w:vAlign w:val="center"/>
          </w:tcPr>
          <w:p w14:paraId="2A26EEB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检验结论、复检和质量追溯</w:t>
            </w:r>
          </w:p>
        </w:tc>
      </w:tr>
      <w:tr w14:paraId="149B1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4109133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运维/开发</w:t>
            </w:r>
          </w:p>
        </w:tc>
        <w:tc>
          <w:tcPr>
            <w:tcW w:w="3402" w:type="dxa"/>
            <w:vAlign w:val="center"/>
          </w:tcPr>
          <w:p w14:paraId="008A4D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部署、接口、数据库和故障处理</w:t>
            </w:r>
          </w:p>
        </w:tc>
        <w:tc>
          <w:tcPr>
            <w:tcW w:w="3799" w:type="dxa"/>
            <w:vAlign w:val="center"/>
          </w:tcPr>
          <w:p w14:paraId="39B0052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变更评审、备份恢复和技术支持</w:t>
            </w:r>
          </w:p>
        </w:tc>
      </w:tr>
    </w:tbl>
    <w:p w14:paraId="44456856">
      <w:pPr>
        <w:bidi w:val="0"/>
        <w:rPr>
          <w:rFonts w:hint="default"/>
          <w:lang w:eastAsia="zh-CN"/>
        </w:rPr>
      </w:pPr>
    </w:p>
    <w:p w14:paraId="4A084EB9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2.3 关键业务规则</w:t>
      </w:r>
    </w:p>
    <w:p w14:paraId="396AA9AA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标准工艺是可复用模板，生产工艺是订单或物料的执行版本；只有通过启用和完整性检查的工艺才可下发任务。</w:t>
      </w:r>
    </w:p>
    <w:p w14:paraId="7440CAB8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同一订单工序的排产数量不得超过可计划数量；计划时间、工位和指派对象变更必须保留操作记录。</w:t>
      </w:r>
    </w:p>
    <w:p w14:paraId="11A51CEA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生产任务状态必须遵循状态机；已完成或已关闭任务不得通过普通编辑入口回退。</w:t>
      </w:r>
    </w:p>
    <w:p w14:paraId="7CC0AA86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检验不合格必须进入处置分支，不能仅修改显示状态绕过返工、让步或报废流程。</w:t>
      </w:r>
    </w:p>
    <w:p w14:paraId="68814F9C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17600611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3 总体架构设计</w:t>
      </w:r>
    </w:p>
    <w:p w14:paraId="389C1A7C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3.1 逻辑架构</w:t>
      </w:r>
    </w:p>
    <w:p w14:paraId="446ECC9F">
      <w:pPr>
        <w:bidi w:val="0"/>
        <w:ind w:firstLine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760720" cy="3072130"/>
            <wp:effectExtent l="0" t="0" r="5080" b="1270"/>
            <wp:docPr id="1" name="图片 1" descr="logical-archite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ical-architectur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BB3E8">
      <w:pPr>
        <w:bidi w:val="0"/>
        <w:spacing w:after="160"/>
        <w:ind w:firstLine="0"/>
        <w:jc w:val="center"/>
        <w:rPr>
          <w:rFonts w:hint="eastAsia" w:cs="Arial"/>
          <w:b w:val="0"/>
          <w:color w:val="000000"/>
          <w:sz w:val="18"/>
          <w:lang w:eastAsia="zh-CN"/>
        </w:rPr>
      </w:pPr>
      <w:r>
        <w:rPr>
          <w:rFonts w:hint="eastAsia" w:cs="Arial"/>
          <w:b w:val="0"/>
          <w:color w:val="000000"/>
          <w:sz w:val="18"/>
          <w:lang w:eastAsia="zh-CN"/>
        </w:rPr>
        <w:t>图3-1 MES逻辑架构</w:t>
      </w:r>
    </w:p>
    <w:p w14:paraId="106DEEE8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系统采用浏览器、MES Web 服务、统一数据库过程层和外部适配器分层。浏览器不直接连接数据库；业务请求携带用户和页面上下文，经服务端鉴权、参数处理和过程执行后返回结果。SAP B1、TM、AGV、设备和文件服务通过适配器隔离协议差异。</w:t>
      </w:r>
    </w:p>
    <w:p w14:paraId="49EB1E01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3.2 分层职责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3969"/>
        <w:gridCol w:w="3515"/>
      </w:tblGrid>
      <w:tr w14:paraId="402AB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701" w:type="dxa"/>
            <w:vAlign w:val="center"/>
          </w:tcPr>
          <w:p w14:paraId="659A6449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层次</w:t>
            </w:r>
          </w:p>
        </w:tc>
        <w:tc>
          <w:tcPr>
            <w:tcW w:w="3969" w:type="dxa"/>
            <w:vAlign w:val="center"/>
          </w:tcPr>
          <w:p w14:paraId="13AE7EE4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职责</w:t>
            </w:r>
          </w:p>
        </w:tc>
        <w:tc>
          <w:tcPr>
            <w:tcW w:w="3515" w:type="dxa"/>
            <w:vAlign w:val="center"/>
          </w:tcPr>
          <w:p w14:paraId="3B353C51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禁止事项</w:t>
            </w:r>
          </w:p>
        </w:tc>
      </w:tr>
      <w:tr w14:paraId="18DC8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036F395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表示层</w:t>
            </w:r>
          </w:p>
        </w:tc>
        <w:tc>
          <w:tcPr>
            <w:tcW w:w="3969" w:type="dxa"/>
            <w:vAlign w:val="center"/>
          </w:tcPr>
          <w:p w14:paraId="0FC1DC1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页面、表格、弹窗、交互校验、分页和导出</w:t>
            </w:r>
          </w:p>
        </w:tc>
        <w:tc>
          <w:tcPr>
            <w:tcW w:w="3515" w:type="dxa"/>
            <w:vAlign w:val="center"/>
          </w:tcPr>
          <w:p w14:paraId="48C3B5D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不在前端伪造最终业务状态</w:t>
            </w:r>
          </w:p>
        </w:tc>
      </w:tr>
      <w:tr w14:paraId="551BD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5CCCBB7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应用服务层</w:t>
            </w:r>
          </w:p>
        </w:tc>
        <w:tc>
          <w:tcPr>
            <w:tcW w:w="3969" w:type="dxa"/>
            <w:vAlign w:val="center"/>
          </w:tcPr>
          <w:p w14:paraId="45BE83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身份上下文、请求编排、过程调用、异常和审计</w:t>
            </w:r>
          </w:p>
        </w:tc>
        <w:tc>
          <w:tcPr>
            <w:tcW w:w="3515" w:type="dxa"/>
            <w:vAlign w:val="center"/>
          </w:tcPr>
          <w:p w14:paraId="13D269D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不绕过权限直接暴露任意过程</w:t>
            </w:r>
          </w:p>
        </w:tc>
      </w:tr>
      <w:tr w14:paraId="24DC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90D3B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领域过程层</w:t>
            </w:r>
          </w:p>
        </w:tc>
        <w:tc>
          <w:tcPr>
            <w:tcW w:w="3969" w:type="dxa"/>
            <w:vAlign w:val="center"/>
          </w:tcPr>
          <w:p w14:paraId="0DD9729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状态转换、事务、校验、幂等、聚合查询</w:t>
            </w:r>
          </w:p>
        </w:tc>
        <w:tc>
          <w:tcPr>
            <w:tcW w:w="3515" w:type="dxa"/>
            <w:vAlign w:val="center"/>
          </w:tcPr>
          <w:p w14:paraId="61BB6E3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不依赖页面字段名称作为唯一契约</w:t>
            </w:r>
          </w:p>
        </w:tc>
      </w:tr>
      <w:tr w14:paraId="5EF7A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61EE772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数据层</w:t>
            </w:r>
          </w:p>
        </w:tc>
        <w:tc>
          <w:tcPr>
            <w:tcW w:w="3969" w:type="dxa"/>
            <w:vAlign w:val="center"/>
          </w:tcPr>
          <w:p w14:paraId="5F3AA0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表、视图、索引、约束、日志和备份</w:t>
            </w:r>
          </w:p>
        </w:tc>
        <w:tc>
          <w:tcPr>
            <w:tcW w:w="3515" w:type="dxa"/>
            <w:vAlign w:val="center"/>
          </w:tcPr>
          <w:p w14:paraId="4F105DE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正式环境手工修改业务表</w:t>
            </w:r>
          </w:p>
        </w:tc>
      </w:tr>
      <w:tr w14:paraId="669F1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61BF23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集成适配层</w:t>
            </w:r>
          </w:p>
        </w:tc>
        <w:tc>
          <w:tcPr>
            <w:tcW w:w="3969" w:type="dxa"/>
            <w:vAlign w:val="center"/>
          </w:tcPr>
          <w:p w14:paraId="5586E68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SAP/TM/AGV/设备/文件协议转换与重试</w:t>
            </w:r>
          </w:p>
        </w:tc>
        <w:tc>
          <w:tcPr>
            <w:tcW w:w="3515" w:type="dxa"/>
            <w:vAlign w:val="center"/>
          </w:tcPr>
          <w:p w14:paraId="58217EA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把外部凭据下发到浏览器</w:t>
            </w:r>
          </w:p>
        </w:tc>
      </w:tr>
    </w:tbl>
    <w:p w14:paraId="2965844C">
      <w:pPr>
        <w:bidi w:val="0"/>
        <w:rPr>
          <w:rFonts w:hint="default"/>
          <w:lang w:eastAsia="zh-CN"/>
        </w:rPr>
      </w:pPr>
    </w:p>
    <w:p w14:paraId="3E8411F1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3.3 设计决策记录</w:t>
      </w:r>
    </w:p>
    <w:tbl>
      <w:tblPr>
        <w:tblStyle w:val="8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2835"/>
        <w:gridCol w:w="3402"/>
        <w:gridCol w:w="2268"/>
      </w:tblGrid>
      <w:tr w14:paraId="5048B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134" w:type="dxa"/>
            <w:vAlign w:val="center"/>
          </w:tcPr>
          <w:p w14:paraId="230032C4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编号</w:t>
            </w:r>
          </w:p>
        </w:tc>
        <w:tc>
          <w:tcPr>
            <w:tcW w:w="2835" w:type="dxa"/>
            <w:vAlign w:val="center"/>
          </w:tcPr>
          <w:p w14:paraId="48A95BBB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决策</w:t>
            </w:r>
          </w:p>
        </w:tc>
        <w:tc>
          <w:tcPr>
            <w:tcW w:w="3402" w:type="dxa"/>
            <w:vAlign w:val="center"/>
          </w:tcPr>
          <w:p w14:paraId="67F5D108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原因</w:t>
            </w:r>
          </w:p>
        </w:tc>
        <w:tc>
          <w:tcPr>
            <w:tcW w:w="2268" w:type="dxa"/>
            <w:vAlign w:val="center"/>
          </w:tcPr>
          <w:p w14:paraId="7FD991F3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影响</w:t>
            </w:r>
          </w:p>
        </w:tc>
      </w:tr>
      <w:tr w14:paraId="39DB5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34" w:type="dxa"/>
            <w:vAlign w:val="center"/>
          </w:tcPr>
          <w:p w14:paraId="77ACDDA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ADR-001</w:t>
            </w:r>
          </w:p>
        </w:tc>
        <w:tc>
          <w:tcPr>
            <w:tcW w:w="2835" w:type="dxa"/>
            <w:vAlign w:val="center"/>
          </w:tcPr>
          <w:p w14:paraId="5E2B874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常规 MES 查询统一走过程调用</w:t>
            </w:r>
          </w:p>
        </w:tc>
        <w:tc>
          <w:tcPr>
            <w:tcW w:w="3402" w:type="dxa"/>
            <w:vAlign w:val="center"/>
          </w:tcPr>
          <w:p w14:paraId="524AB6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集中权限、事务和数据规则</w:t>
            </w:r>
          </w:p>
        </w:tc>
        <w:tc>
          <w:tcPr>
            <w:tcW w:w="2268" w:type="dxa"/>
            <w:vAlign w:val="center"/>
          </w:tcPr>
          <w:p w14:paraId="6555390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需要维护过程契约和版本</w:t>
            </w:r>
          </w:p>
        </w:tc>
      </w:tr>
      <w:tr w14:paraId="16928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34" w:type="dxa"/>
            <w:vAlign w:val="center"/>
          </w:tcPr>
          <w:p w14:paraId="131FC06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ADR-002</w:t>
            </w:r>
          </w:p>
        </w:tc>
        <w:tc>
          <w:tcPr>
            <w:tcW w:w="2835" w:type="dxa"/>
            <w:vAlign w:val="center"/>
          </w:tcPr>
          <w:p w14:paraId="6DDE62C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外部系统通过适配器访问</w:t>
            </w:r>
          </w:p>
        </w:tc>
        <w:tc>
          <w:tcPr>
            <w:tcW w:w="3402" w:type="dxa"/>
            <w:vAlign w:val="center"/>
          </w:tcPr>
          <w:p w14:paraId="50BBB73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隔离 SAP/TM/AGV 协议与凭据</w:t>
            </w:r>
          </w:p>
        </w:tc>
        <w:tc>
          <w:tcPr>
            <w:tcW w:w="2268" w:type="dxa"/>
            <w:vAlign w:val="center"/>
          </w:tcPr>
          <w:p w14:paraId="31F0561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需建设重试、超时和对账</w:t>
            </w:r>
          </w:p>
        </w:tc>
      </w:tr>
      <w:tr w14:paraId="47DB6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34" w:type="dxa"/>
            <w:vAlign w:val="center"/>
          </w:tcPr>
          <w:p w14:paraId="3FB0DC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ADR-003</w:t>
            </w:r>
          </w:p>
        </w:tc>
        <w:tc>
          <w:tcPr>
            <w:tcW w:w="2835" w:type="dxa"/>
            <w:vAlign w:val="center"/>
          </w:tcPr>
          <w:p w14:paraId="6F7E58C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附件采用元数据+文件实体</w:t>
            </w:r>
          </w:p>
        </w:tc>
        <w:tc>
          <w:tcPr>
            <w:tcW w:w="3402" w:type="dxa"/>
            <w:vAlign w:val="center"/>
          </w:tcPr>
          <w:p w14:paraId="094744F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便于权限、版本和生命周期管理</w:t>
            </w:r>
          </w:p>
        </w:tc>
        <w:tc>
          <w:tcPr>
            <w:tcW w:w="2268" w:type="dxa"/>
            <w:vAlign w:val="center"/>
          </w:tcPr>
          <w:p w14:paraId="0128F1D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禁止仅凭原始文件名定位</w:t>
            </w:r>
          </w:p>
        </w:tc>
      </w:tr>
      <w:tr w14:paraId="33F3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34" w:type="dxa"/>
            <w:vAlign w:val="center"/>
          </w:tcPr>
          <w:p w14:paraId="7CB98B5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ADR-004</w:t>
            </w:r>
          </w:p>
        </w:tc>
        <w:tc>
          <w:tcPr>
            <w:tcW w:w="2835" w:type="dxa"/>
            <w:vAlign w:val="center"/>
          </w:tcPr>
          <w:p w14:paraId="5F4352B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状态事实与统计视图分离</w:t>
            </w:r>
          </w:p>
        </w:tc>
        <w:tc>
          <w:tcPr>
            <w:tcW w:w="3402" w:type="dxa"/>
            <w:vAlign w:val="center"/>
          </w:tcPr>
          <w:p w14:paraId="25F203A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避免报表直接改生产状态</w:t>
            </w:r>
          </w:p>
        </w:tc>
        <w:tc>
          <w:tcPr>
            <w:tcW w:w="2268" w:type="dxa"/>
            <w:vAlign w:val="center"/>
          </w:tcPr>
          <w:p w14:paraId="0AF0B8D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统计延迟和数据质量需监控</w:t>
            </w:r>
          </w:p>
        </w:tc>
      </w:tr>
    </w:tbl>
    <w:p w14:paraId="1C2629C9">
      <w:pPr>
        <w:bidi w:val="0"/>
        <w:rPr>
          <w:rFonts w:hint="default"/>
          <w:lang w:eastAsia="zh-CN"/>
        </w:rPr>
      </w:pPr>
    </w:p>
    <w:p w14:paraId="69BD883E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55C16979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4 业务流程与状态设计</w:t>
      </w:r>
    </w:p>
    <w:p w14:paraId="7D60789C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4.1 订单到交付主流程</w:t>
      </w:r>
    </w:p>
    <w:p w14:paraId="043537BC">
      <w:pPr>
        <w:bidi w:val="0"/>
        <w:ind w:firstLine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760720" cy="2486025"/>
            <wp:effectExtent l="0" t="0" r="5080" b="3175"/>
            <wp:docPr id="2" name="图片 2" descr="business-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usiness-flow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051FD">
      <w:pPr>
        <w:bidi w:val="0"/>
        <w:spacing w:after="160"/>
        <w:ind w:firstLine="0"/>
        <w:jc w:val="center"/>
        <w:rPr>
          <w:rFonts w:hint="eastAsia" w:cs="Arial"/>
          <w:b w:val="0"/>
          <w:color w:val="000000"/>
          <w:sz w:val="18"/>
          <w:lang w:eastAsia="zh-CN"/>
        </w:rPr>
      </w:pPr>
      <w:r>
        <w:rPr>
          <w:rFonts w:hint="eastAsia" w:cs="Arial"/>
          <w:b w:val="0"/>
          <w:color w:val="000000"/>
          <w:sz w:val="18"/>
          <w:lang w:eastAsia="zh-CN"/>
        </w:rPr>
        <w:t>图4-1 订单到交付业务主流程</w:t>
      </w:r>
    </w:p>
    <w:p w14:paraId="6E68207A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接收订单和物料主数据，建立订单行、拆分内码及可视范围。</w:t>
      </w:r>
    </w:p>
    <w:p w14:paraId="67BEEA12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维护或选择标准工艺，生成订单生产工艺并校验工序顺序、数量和资源。</w:t>
      </w:r>
    </w:p>
    <w:p w14:paraId="79F80E4B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计划员为工序安排工位、人员、数量、计划开始和计划完成时间。</w:t>
      </w:r>
    </w:p>
    <w:p w14:paraId="0019A639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下发生产任务，任务进入可执行队列；执行过程中记录收料、开工、暂停、报工和送检。</w:t>
      </w:r>
    </w:p>
    <w:p w14:paraId="095C8E88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质量结果和工时校验反馈任务状态，完成任务进入订单关闭、入库或发货协同。</w:t>
      </w:r>
    </w:p>
    <w:p w14:paraId="159CF675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4.2 生产任务状态机</w:t>
      </w:r>
    </w:p>
    <w:p w14:paraId="1E96B2AD">
      <w:pPr>
        <w:bidi w:val="0"/>
        <w:ind w:firstLine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760720" cy="3040380"/>
            <wp:effectExtent l="0" t="0" r="5080" b="7620"/>
            <wp:docPr id="3" name="图片 3" descr="design-task-state-mach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esign-task-state-machin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8B1BF">
      <w:pPr>
        <w:bidi w:val="0"/>
        <w:spacing w:after="160"/>
        <w:ind w:firstLine="0"/>
        <w:jc w:val="center"/>
        <w:rPr>
          <w:rFonts w:hint="eastAsia" w:cs="Arial"/>
          <w:b w:val="0"/>
          <w:color w:val="000000"/>
          <w:sz w:val="18"/>
          <w:lang w:eastAsia="zh-CN"/>
        </w:rPr>
      </w:pPr>
      <w:r>
        <w:rPr>
          <w:rFonts w:hint="eastAsia" w:cs="Arial"/>
          <w:b w:val="0"/>
          <w:color w:val="000000"/>
          <w:sz w:val="18"/>
          <w:lang w:eastAsia="zh-CN"/>
        </w:rPr>
        <w:t>图4-2 生产任务状态机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531"/>
        <w:gridCol w:w="2381"/>
        <w:gridCol w:w="2835"/>
        <w:gridCol w:w="2268"/>
      </w:tblGrid>
      <w:tr w14:paraId="1E17E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531" w:type="dxa"/>
            <w:vAlign w:val="center"/>
          </w:tcPr>
          <w:p w14:paraId="38781F2D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61F8CE89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允许前置</w:t>
            </w:r>
          </w:p>
        </w:tc>
        <w:tc>
          <w:tcPr>
            <w:tcW w:w="2835" w:type="dxa"/>
            <w:vAlign w:val="center"/>
          </w:tcPr>
          <w:p w14:paraId="5CACB434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触发动作</w:t>
            </w:r>
          </w:p>
        </w:tc>
        <w:tc>
          <w:tcPr>
            <w:tcW w:w="2268" w:type="dxa"/>
            <w:vAlign w:val="center"/>
          </w:tcPr>
          <w:p w14:paraId="07DF156D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允许后续</w:t>
            </w:r>
          </w:p>
        </w:tc>
      </w:tr>
      <w:tr w14:paraId="6D6D0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1" w:type="dxa"/>
            <w:vAlign w:val="center"/>
          </w:tcPr>
          <w:p w14:paraId="600096F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未排产</w:t>
            </w:r>
          </w:p>
        </w:tc>
        <w:tc>
          <w:tcPr>
            <w:tcW w:w="2381" w:type="dxa"/>
            <w:vAlign w:val="center"/>
          </w:tcPr>
          <w:p w14:paraId="208B4EB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新建/计划调整</w:t>
            </w:r>
          </w:p>
        </w:tc>
        <w:tc>
          <w:tcPr>
            <w:tcW w:w="2835" w:type="dxa"/>
            <w:vAlign w:val="center"/>
          </w:tcPr>
          <w:p w14:paraId="3379D3B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保存排产信息</w:t>
            </w:r>
          </w:p>
        </w:tc>
        <w:tc>
          <w:tcPr>
            <w:tcW w:w="2268" w:type="dxa"/>
            <w:vAlign w:val="center"/>
          </w:tcPr>
          <w:p w14:paraId="22379FC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已排产、取消</w:t>
            </w:r>
          </w:p>
        </w:tc>
      </w:tr>
      <w:tr w14:paraId="0700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1" w:type="dxa"/>
            <w:vAlign w:val="center"/>
          </w:tcPr>
          <w:p w14:paraId="26485AF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已排产</w:t>
            </w:r>
          </w:p>
        </w:tc>
        <w:tc>
          <w:tcPr>
            <w:tcW w:w="2381" w:type="dxa"/>
            <w:vAlign w:val="center"/>
          </w:tcPr>
          <w:p w14:paraId="38D5E80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未排产</w:t>
            </w:r>
          </w:p>
        </w:tc>
        <w:tc>
          <w:tcPr>
            <w:tcW w:w="2835" w:type="dxa"/>
            <w:vAlign w:val="center"/>
          </w:tcPr>
          <w:p w14:paraId="7EF6DFD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确认排产/派工</w:t>
            </w:r>
          </w:p>
        </w:tc>
        <w:tc>
          <w:tcPr>
            <w:tcW w:w="2268" w:type="dxa"/>
            <w:vAlign w:val="center"/>
          </w:tcPr>
          <w:p w14:paraId="5506F46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可执行、重排</w:t>
            </w:r>
          </w:p>
        </w:tc>
      </w:tr>
      <w:tr w14:paraId="0B0A2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1" w:type="dxa"/>
            <w:vAlign w:val="center"/>
          </w:tcPr>
          <w:p w14:paraId="08FDED7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可执行</w:t>
            </w:r>
          </w:p>
        </w:tc>
        <w:tc>
          <w:tcPr>
            <w:tcW w:w="2381" w:type="dxa"/>
            <w:vAlign w:val="center"/>
          </w:tcPr>
          <w:p w14:paraId="770F376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已排产且工艺下发</w:t>
            </w:r>
          </w:p>
        </w:tc>
        <w:tc>
          <w:tcPr>
            <w:tcW w:w="2835" w:type="dxa"/>
            <w:vAlign w:val="center"/>
          </w:tcPr>
          <w:p w14:paraId="4A4789B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收料或开工</w:t>
            </w:r>
          </w:p>
        </w:tc>
        <w:tc>
          <w:tcPr>
            <w:tcW w:w="2268" w:type="dxa"/>
            <w:vAlign w:val="center"/>
          </w:tcPr>
          <w:p w14:paraId="1097CD4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进行中、异常</w:t>
            </w:r>
          </w:p>
        </w:tc>
      </w:tr>
      <w:tr w14:paraId="493E3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1" w:type="dxa"/>
            <w:vAlign w:val="center"/>
          </w:tcPr>
          <w:p w14:paraId="6CADB1E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进行中</w:t>
            </w:r>
          </w:p>
        </w:tc>
        <w:tc>
          <w:tcPr>
            <w:tcW w:w="2381" w:type="dxa"/>
            <w:vAlign w:val="center"/>
          </w:tcPr>
          <w:p w14:paraId="16AF9D9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可执行/暂停</w:t>
            </w:r>
          </w:p>
        </w:tc>
        <w:tc>
          <w:tcPr>
            <w:tcW w:w="2835" w:type="dxa"/>
            <w:vAlign w:val="center"/>
          </w:tcPr>
          <w:p w14:paraId="327B074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开始、恢复、报工</w:t>
            </w:r>
          </w:p>
        </w:tc>
        <w:tc>
          <w:tcPr>
            <w:tcW w:w="2268" w:type="dxa"/>
            <w:vAlign w:val="center"/>
          </w:tcPr>
          <w:p w14:paraId="70CCDF3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暂停、送检、完成</w:t>
            </w:r>
          </w:p>
        </w:tc>
      </w:tr>
      <w:tr w14:paraId="0374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1" w:type="dxa"/>
            <w:vAlign w:val="center"/>
          </w:tcPr>
          <w:p w14:paraId="38CF0E7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暂停</w:t>
            </w:r>
          </w:p>
        </w:tc>
        <w:tc>
          <w:tcPr>
            <w:tcW w:w="2381" w:type="dxa"/>
            <w:vAlign w:val="center"/>
          </w:tcPr>
          <w:p w14:paraId="3612BA3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进行中</w:t>
            </w:r>
          </w:p>
        </w:tc>
        <w:tc>
          <w:tcPr>
            <w:tcW w:w="2835" w:type="dxa"/>
            <w:vAlign w:val="center"/>
          </w:tcPr>
          <w:p w14:paraId="67DAE3C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暂停并填写原因</w:t>
            </w:r>
          </w:p>
        </w:tc>
        <w:tc>
          <w:tcPr>
            <w:tcW w:w="2268" w:type="dxa"/>
            <w:vAlign w:val="center"/>
          </w:tcPr>
          <w:p w14:paraId="229E3D8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进行中、取消</w:t>
            </w:r>
          </w:p>
        </w:tc>
      </w:tr>
      <w:tr w14:paraId="10B41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1" w:type="dxa"/>
            <w:vAlign w:val="center"/>
          </w:tcPr>
          <w:p w14:paraId="33CC73C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送检</w:t>
            </w:r>
          </w:p>
        </w:tc>
        <w:tc>
          <w:tcPr>
            <w:tcW w:w="2381" w:type="dxa"/>
            <w:vAlign w:val="center"/>
          </w:tcPr>
          <w:p w14:paraId="277A38F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进行中/报工完成</w:t>
            </w:r>
          </w:p>
        </w:tc>
        <w:tc>
          <w:tcPr>
            <w:tcW w:w="2835" w:type="dxa"/>
            <w:vAlign w:val="center"/>
          </w:tcPr>
          <w:p w14:paraId="207F08B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提交检验任务</w:t>
            </w:r>
          </w:p>
        </w:tc>
        <w:tc>
          <w:tcPr>
            <w:tcW w:w="2268" w:type="dxa"/>
            <w:vAlign w:val="center"/>
          </w:tcPr>
          <w:p w14:paraId="5F4BAEE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完成、返工、让步、报废</w:t>
            </w:r>
          </w:p>
        </w:tc>
      </w:tr>
      <w:tr w14:paraId="78878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31" w:type="dxa"/>
            <w:vAlign w:val="center"/>
          </w:tcPr>
          <w:p w14:paraId="64B3C9A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完成</w:t>
            </w:r>
          </w:p>
        </w:tc>
        <w:tc>
          <w:tcPr>
            <w:tcW w:w="2381" w:type="dxa"/>
            <w:vAlign w:val="center"/>
          </w:tcPr>
          <w:p w14:paraId="43B8612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检验合格/无需检验</w:t>
            </w:r>
          </w:p>
        </w:tc>
        <w:tc>
          <w:tcPr>
            <w:tcW w:w="2835" w:type="dxa"/>
            <w:vAlign w:val="center"/>
          </w:tcPr>
          <w:p w14:paraId="3CA6B2E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完成确认</w:t>
            </w:r>
          </w:p>
        </w:tc>
        <w:tc>
          <w:tcPr>
            <w:tcW w:w="2268" w:type="dxa"/>
            <w:vAlign w:val="center"/>
          </w:tcPr>
          <w:p w14:paraId="7080475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关闭/入库</w:t>
            </w:r>
          </w:p>
        </w:tc>
      </w:tr>
    </w:tbl>
    <w:p w14:paraId="5953DAF7">
      <w:pPr>
        <w:bidi w:val="0"/>
        <w:spacing w:after="160"/>
        <w:ind w:firstLine="0"/>
        <w:jc w:val="center"/>
        <w:rPr>
          <w:rFonts w:hint="default" w:cs="Arial"/>
          <w:b w:val="0"/>
          <w:color w:val="000000"/>
          <w:sz w:val="18"/>
          <w:lang w:eastAsia="zh-CN"/>
        </w:rPr>
      </w:pPr>
    </w:p>
    <w:p w14:paraId="63224767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4.3 质量与工时闭环</w:t>
      </w:r>
    </w:p>
    <w:p w14:paraId="21BF8980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生产事实、检验事实和工时事实分别记录，再由状态规则和统计视图汇总。工时结算不得直接把页面显示值当作事实；必须使用可校验的开始/结束记录、报工数量、辅助工时和修正原因。质量不合格结果必须保留检验依据及处置结论。</w:t>
      </w:r>
    </w:p>
    <w:p w14:paraId="7DCE2F37">
      <w:pPr>
        <w:rPr>
          <w:rFonts w:hint="default" w:cs="Arial"/>
          <w:b w:val="0"/>
          <w:color w:val="000000"/>
          <w:sz w:val="21"/>
          <w:lang w:eastAsia="zh-CN"/>
        </w:rPr>
      </w:pPr>
      <w:r>
        <w:rPr>
          <w:rFonts w:hint="default" w:cs="Arial"/>
          <w:b w:val="0"/>
          <w:color w:val="000000"/>
          <w:sz w:val="21"/>
          <w:lang w:eastAsia="zh-CN"/>
        </w:rPr>
        <w:br w:type="page"/>
      </w:r>
    </w:p>
    <w:p w14:paraId="187B78DD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5 数据设计</w:t>
      </w:r>
    </w:p>
    <w:p w14:paraId="2EDBC585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5.1 核心实体关系</w:t>
      </w:r>
    </w:p>
    <w:p w14:paraId="18A8422C">
      <w:pPr>
        <w:bidi w:val="0"/>
        <w:ind w:firstLine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760720" cy="3392170"/>
            <wp:effectExtent l="0" t="0" r="5080" b="11430"/>
            <wp:docPr id="4" name="图片 4" descr="design-er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esign-er-model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4EF0C">
      <w:pPr>
        <w:bidi w:val="0"/>
        <w:spacing w:after="160"/>
        <w:ind w:firstLine="0"/>
        <w:jc w:val="center"/>
        <w:rPr>
          <w:rFonts w:hint="eastAsia" w:cs="Arial"/>
          <w:b w:val="0"/>
          <w:color w:val="000000"/>
          <w:sz w:val="18"/>
          <w:lang w:eastAsia="zh-CN"/>
        </w:rPr>
      </w:pPr>
      <w:r>
        <w:rPr>
          <w:rFonts w:hint="eastAsia" w:cs="Arial"/>
          <w:b w:val="0"/>
          <w:color w:val="000000"/>
          <w:sz w:val="18"/>
          <w:lang w:eastAsia="zh-CN"/>
        </w:rPr>
        <w:t>图5-1 MES核心实体关系图（ER）</w:t>
      </w:r>
    </w:p>
    <w:tbl>
      <w:tblPr>
        <w:tblStyle w:val="8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2552"/>
        <w:gridCol w:w="3402"/>
        <w:gridCol w:w="1984"/>
      </w:tblGrid>
      <w:tr w14:paraId="4C0F9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701" w:type="dxa"/>
            <w:vAlign w:val="center"/>
          </w:tcPr>
          <w:p w14:paraId="4050D6B2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实体</w:t>
            </w:r>
          </w:p>
        </w:tc>
        <w:tc>
          <w:tcPr>
            <w:tcW w:w="2552" w:type="dxa"/>
            <w:vAlign w:val="center"/>
          </w:tcPr>
          <w:p w14:paraId="69A61A5A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主标识</w:t>
            </w:r>
          </w:p>
        </w:tc>
        <w:tc>
          <w:tcPr>
            <w:tcW w:w="3402" w:type="dxa"/>
            <w:vAlign w:val="center"/>
          </w:tcPr>
          <w:p w14:paraId="5A283116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关键关系</w:t>
            </w:r>
          </w:p>
        </w:tc>
        <w:tc>
          <w:tcPr>
            <w:tcW w:w="1984" w:type="dxa"/>
            <w:vAlign w:val="center"/>
          </w:tcPr>
          <w:p w14:paraId="52907EFA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生命周期</w:t>
            </w:r>
          </w:p>
        </w:tc>
      </w:tr>
      <w:tr w14:paraId="14544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7B61D45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订单</w:t>
            </w:r>
          </w:p>
        </w:tc>
        <w:tc>
          <w:tcPr>
            <w:tcW w:w="2552" w:type="dxa"/>
            <w:vAlign w:val="center"/>
          </w:tcPr>
          <w:p w14:paraId="5CE6D25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订单编号+订单行号+拆分内码</w:t>
            </w:r>
          </w:p>
        </w:tc>
        <w:tc>
          <w:tcPr>
            <w:tcW w:w="3402" w:type="dxa"/>
            <w:vAlign w:val="center"/>
          </w:tcPr>
          <w:p w14:paraId="5E480F6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包含物料、工艺和任务</w:t>
            </w:r>
          </w:p>
        </w:tc>
        <w:tc>
          <w:tcPr>
            <w:tcW w:w="1984" w:type="dxa"/>
            <w:vAlign w:val="center"/>
          </w:tcPr>
          <w:p w14:paraId="7A36BC5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接收、执行、关闭</w:t>
            </w:r>
          </w:p>
        </w:tc>
      </w:tr>
      <w:tr w14:paraId="2BA2E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01CAD7A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工艺版本</w:t>
            </w:r>
          </w:p>
        </w:tc>
        <w:tc>
          <w:tcPr>
            <w:tcW w:w="2552" w:type="dxa"/>
            <w:vAlign w:val="center"/>
          </w:tcPr>
          <w:p w14:paraId="71B9B20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工艺编号/版本/启用状态</w:t>
            </w:r>
          </w:p>
        </w:tc>
        <w:tc>
          <w:tcPr>
            <w:tcW w:w="3402" w:type="dxa"/>
            <w:vAlign w:val="center"/>
          </w:tcPr>
          <w:p w14:paraId="4D89D1A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由多个工序组成</w:t>
            </w:r>
          </w:p>
        </w:tc>
        <w:tc>
          <w:tcPr>
            <w:tcW w:w="1984" w:type="dxa"/>
            <w:vAlign w:val="center"/>
          </w:tcPr>
          <w:p w14:paraId="3DAF97A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草稿、启用、停用</w:t>
            </w:r>
          </w:p>
        </w:tc>
      </w:tr>
      <w:tr w14:paraId="7AC84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55F8A2B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生产任务</w:t>
            </w:r>
          </w:p>
        </w:tc>
        <w:tc>
          <w:tcPr>
            <w:tcW w:w="2552" w:type="dxa"/>
            <w:vAlign w:val="center"/>
          </w:tcPr>
          <w:p w14:paraId="096D690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任务标识+订单工序</w:t>
            </w:r>
          </w:p>
        </w:tc>
        <w:tc>
          <w:tcPr>
            <w:tcW w:w="3402" w:type="dxa"/>
            <w:vAlign w:val="center"/>
          </w:tcPr>
          <w:p w14:paraId="5C1DF06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关联工位、人员、计划和报工</w:t>
            </w:r>
          </w:p>
        </w:tc>
        <w:tc>
          <w:tcPr>
            <w:tcW w:w="1984" w:type="dxa"/>
            <w:vAlign w:val="center"/>
          </w:tcPr>
          <w:p w14:paraId="111F4D1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未排产至完成</w:t>
            </w:r>
          </w:p>
        </w:tc>
      </w:tr>
      <w:tr w14:paraId="4A106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30AAFA4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操作记录</w:t>
            </w:r>
          </w:p>
        </w:tc>
        <w:tc>
          <w:tcPr>
            <w:tcW w:w="2552" w:type="dxa"/>
            <w:vAlign w:val="center"/>
          </w:tcPr>
          <w:p w14:paraId="4AB0995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记录标识</w:t>
            </w:r>
          </w:p>
        </w:tc>
        <w:tc>
          <w:tcPr>
            <w:tcW w:w="3402" w:type="dxa"/>
            <w:vAlign w:val="center"/>
          </w:tcPr>
          <w:p w14:paraId="393921E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关联任务和操作人</w:t>
            </w:r>
          </w:p>
        </w:tc>
        <w:tc>
          <w:tcPr>
            <w:tcW w:w="1984" w:type="dxa"/>
            <w:vAlign w:val="center"/>
          </w:tcPr>
          <w:p w14:paraId="613E3D5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开始、暂停、恢复、结束</w:t>
            </w:r>
          </w:p>
        </w:tc>
      </w:tr>
      <w:tr w14:paraId="0D3D5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BC69FF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质量任务</w:t>
            </w:r>
          </w:p>
        </w:tc>
        <w:tc>
          <w:tcPr>
            <w:tcW w:w="2552" w:type="dxa"/>
            <w:vAlign w:val="center"/>
          </w:tcPr>
          <w:p w14:paraId="62A63DD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检验任务标识</w:t>
            </w:r>
          </w:p>
        </w:tc>
        <w:tc>
          <w:tcPr>
            <w:tcW w:w="3402" w:type="dxa"/>
            <w:vAlign w:val="center"/>
          </w:tcPr>
          <w:p w14:paraId="17E1AD0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关联任务、标准和结果</w:t>
            </w:r>
          </w:p>
        </w:tc>
        <w:tc>
          <w:tcPr>
            <w:tcW w:w="1984" w:type="dxa"/>
            <w:vAlign w:val="center"/>
          </w:tcPr>
          <w:p w14:paraId="35A3379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待检、检验、处置、关闭</w:t>
            </w:r>
          </w:p>
        </w:tc>
      </w:tr>
      <w:tr w14:paraId="7660C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457538A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附件</w:t>
            </w:r>
          </w:p>
        </w:tc>
        <w:tc>
          <w:tcPr>
            <w:tcW w:w="2552" w:type="dxa"/>
            <w:vAlign w:val="center"/>
          </w:tcPr>
          <w:p w14:paraId="724FAC3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文件标识/哈希</w:t>
            </w:r>
          </w:p>
        </w:tc>
        <w:tc>
          <w:tcPr>
            <w:tcW w:w="3402" w:type="dxa"/>
            <w:vAlign w:val="center"/>
          </w:tcPr>
          <w:p w14:paraId="1DAEE38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关联订单、物料、工艺或检验</w:t>
            </w:r>
          </w:p>
        </w:tc>
        <w:tc>
          <w:tcPr>
            <w:tcW w:w="1984" w:type="dxa"/>
            <w:vAlign w:val="center"/>
          </w:tcPr>
          <w:p w14:paraId="39D4F44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上传、启用、归档</w:t>
            </w:r>
          </w:p>
        </w:tc>
      </w:tr>
    </w:tbl>
    <w:p w14:paraId="54755E4E">
      <w:pPr>
        <w:bidi w:val="0"/>
        <w:spacing w:after="160"/>
        <w:ind w:firstLine="0"/>
        <w:jc w:val="center"/>
        <w:rPr>
          <w:rFonts w:hint="default" w:cs="Arial"/>
          <w:b w:val="0"/>
          <w:color w:val="000000"/>
          <w:sz w:val="18"/>
          <w:lang w:eastAsia="zh-CN"/>
        </w:rPr>
      </w:pPr>
    </w:p>
    <w:p w14:paraId="4991E698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5.2 数据一致性设计</w:t>
      </w:r>
    </w:p>
    <w:p w14:paraId="386AB6A3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所有跨域写入必须由一个明确的业务过程完成，过程内控制事务边界和失败回滚。</w:t>
      </w:r>
    </w:p>
    <w:p w14:paraId="03C3D763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查询结果必须明确粒度；一对多关联用于展示时要通过聚合、去重或明确版本条件避免任务行膨胀。</w:t>
      </w:r>
    </w:p>
    <w:p w14:paraId="0439A0DE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工艺库、任务表和统计视图应定义当前启用记录规则，禁止仅按订单号和工序号无条件关联多个版本。</w:t>
      </w:r>
    </w:p>
    <w:p w14:paraId="00E36F35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接口重试必须具备业务幂等键，避免重复创建任务、重复发料、重复报工或重复检验。</w:t>
      </w:r>
    </w:p>
    <w:p w14:paraId="20363570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删除优先采用停用、关闭或归档，保留历史记录和审计链。</w:t>
      </w:r>
    </w:p>
    <w:p w14:paraId="1744CC79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5.3 数据字典基线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4196"/>
        <w:gridCol w:w="2892"/>
      </w:tblGrid>
      <w:tr w14:paraId="025C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701" w:type="dxa"/>
            <w:vAlign w:val="center"/>
          </w:tcPr>
          <w:p w14:paraId="6B06273E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数据域</w:t>
            </w:r>
          </w:p>
        </w:tc>
        <w:tc>
          <w:tcPr>
            <w:tcW w:w="4196" w:type="dxa"/>
            <w:vAlign w:val="center"/>
          </w:tcPr>
          <w:p w14:paraId="3FC8612B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必须定义的字段</w:t>
            </w:r>
          </w:p>
        </w:tc>
        <w:tc>
          <w:tcPr>
            <w:tcW w:w="2892" w:type="dxa"/>
            <w:vAlign w:val="center"/>
          </w:tcPr>
          <w:p w14:paraId="29B0E7E5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质量规则</w:t>
            </w:r>
          </w:p>
        </w:tc>
      </w:tr>
      <w:tr w14:paraId="78EB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46B6A2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订单</w:t>
            </w:r>
          </w:p>
        </w:tc>
        <w:tc>
          <w:tcPr>
            <w:tcW w:w="4196" w:type="dxa"/>
            <w:vAlign w:val="center"/>
          </w:tcPr>
          <w:p w14:paraId="0D120E9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订单编号、行号、拆分内码、物料、数量、交期</w:t>
            </w:r>
          </w:p>
        </w:tc>
        <w:tc>
          <w:tcPr>
            <w:tcW w:w="2892" w:type="dxa"/>
            <w:vAlign w:val="center"/>
          </w:tcPr>
          <w:p w14:paraId="67169A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组合标识唯一，数量非负</w:t>
            </w:r>
          </w:p>
        </w:tc>
      </w:tr>
      <w:tr w14:paraId="1815C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0B2F9A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</w:t>
            </w:r>
          </w:p>
        </w:tc>
        <w:tc>
          <w:tcPr>
            <w:tcW w:w="4196" w:type="dxa"/>
            <w:vAlign w:val="center"/>
          </w:tcPr>
          <w:p w14:paraId="2AAE328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工艺编号、顺序、工艺要求、资源、启用、版本</w:t>
            </w:r>
          </w:p>
        </w:tc>
        <w:tc>
          <w:tcPr>
            <w:tcW w:w="2892" w:type="dxa"/>
            <w:vAlign w:val="center"/>
          </w:tcPr>
          <w:p w14:paraId="2CE2C3A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同一范围仅一个当前启用版本</w:t>
            </w:r>
          </w:p>
        </w:tc>
      </w:tr>
      <w:tr w14:paraId="31236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7085F8D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排产</w:t>
            </w:r>
          </w:p>
        </w:tc>
        <w:tc>
          <w:tcPr>
            <w:tcW w:w="4196" w:type="dxa"/>
            <w:vAlign w:val="center"/>
          </w:tcPr>
          <w:p w14:paraId="231E0E2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计划数量、工位、指派对象、开始/完成时间、排产状态</w:t>
            </w:r>
          </w:p>
        </w:tc>
        <w:tc>
          <w:tcPr>
            <w:tcW w:w="2892" w:type="dxa"/>
            <w:vAlign w:val="center"/>
          </w:tcPr>
          <w:p w14:paraId="6D305B0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计划数量不超可计划量，时间先后合法</w:t>
            </w:r>
          </w:p>
        </w:tc>
      </w:tr>
      <w:tr w14:paraId="2F4B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D0A67E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执行</w:t>
            </w:r>
          </w:p>
        </w:tc>
        <w:tc>
          <w:tcPr>
            <w:tcW w:w="4196" w:type="dxa"/>
            <w:vAlign w:val="center"/>
          </w:tcPr>
          <w:p w14:paraId="6077C45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收料、开工、暂停、报工、完成数量</w:t>
            </w:r>
          </w:p>
        </w:tc>
        <w:tc>
          <w:tcPr>
            <w:tcW w:w="2892" w:type="dxa"/>
            <w:vAlign w:val="center"/>
          </w:tcPr>
          <w:p w14:paraId="294E910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状态与操作记录一致</w:t>
            </w:r>
          </w:p>
        </w:tc>
      </w:tr>
      <w:tr w14:paraId="458BF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697D4D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</w:t>
            </w:r>
          </w:p>
        </w:tc>
        <w:tc>
          <w:tcPr>
            <w:tcW w:w="4196" w:type="dxa"/>
            <w:vAlign w:val="center"/>
          </w:tcPr>
          <w:p w14:paraId="1E621C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检验类型、标准、实测值、判定、处置</w:t>
            </w:r>
          </w:p>
        </w:tc>
        <w:tc>
          <w:tcPr>
            <w:tcW w:w="2892" w:type="dxa"/>
            <w:vAlign w:val="center"/>
          </w:tcPr>
          <w:p w14:paraId="3971A1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结果可追溯至任务和人员</w:t>
            </w:r>
          </w:p>
        </w:tc>
      </w:tr>
      <w:tr w14:paraId="4E9C8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420982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审计</w:t>
            </w:r>
          </w:p>
        </w:tc>
        <w:tc>
          <w:tcPr>
            <w:tcW w:w="4196" w:type="dxa"/>
            <w:vAlign w:val="center"/>
          </w:tcPr>
          <w:p w14:paraId="7E219DB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用户、角色、页面、动作、参数摘要、结果、时间</w:t>
            </w:r>
          </w:p>
        </w:tc>
        <w:tc>
          <w:tcPr>
            <w:tcW w:w="2892" w:type="dxa"/>
            <w:vAlign w:val="center"/>
          </w:tcPr>
          <w:p w14:paraId="607EE68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禁止记录密码和敏感凭据</w:t>
            </w:r>
          </w:p>
        </w:tc>
      </w:tr>
    </w:tbl>
    <w:p w14:paraId="3B693825">
      <w:pPr>
        <w:bidi w:val="0"/>
        <w:rPr>
          <w:rFonts w:hint="default"/>
          <w:lang w:eastAsia="zh-CN"/>
        </w:rPr>
      </w:pPr>
    </w:p>
    <w:p w14:paraId="36FCFC63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772F748C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6 接口与集成设计</w:t>
      </w:r>
    </w:p>
    <w:p w14:paraId="38C9C261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6.1 订单到任务接口时序</w:t>
      </w:r>
    </w:p>
    <w:p w14:paraId="673B1806">
      <w:pPr>
        <w:bidi w:val="0"/>
        <w:ind w:firstLine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760720" cy="3136900"/>
            <wp:effectExtent l="0" t="0" r="5080" b="0"/>
            <wp:docPr id="5" name="图片 5" descr="design-sequence-order-ta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esign-sequence-order-task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ED896">
      <w:pPr>
        <w:bidi w:val="0"/>
        <w:spacing w:after="160"/>
        <w:ind w:firstLine="0"/>
        <w:jc w:val="center"/>
        <w:rPr>
          <w:rFonts w:hint="eastAsia" w:cs="Arial"/>
          <w:b w:val="0"/>
          <w:color w:val="000000"/>
          <w:sz w:val="18"/>
          <w:lang w:eastAsia="zh-CN"/>
        </w:rPr>
      </w:pPr>
      <w:r>
        <w:rPr>
          <w:rFonts w:hint="eastAsia" w:cs="Arial"/>
          <w:b w:val="0"/>
          <w:color w:val="000000"/>
          <w:sz w:val="18"/>
          <w:lang w:eastAsia="zh-CN"/>
        </w:rPr>
        <w:t>图6-1 订单到生产任务的接口时序图</w:t>
      </w:r>
    </w:p>
    <w:p w14:paraId="1304202A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6.2 MES 通用接口契约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4139"/>
        <w:gridCol w:w="2948"/>
      </w:tblGrid>
      <w:tr w14:paraId="4E868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701" w:type="dxa"/>
            <w:vAlign w:val="center"/>
          </w:tcPr>
          <w:p w14:paraId="7062460C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部分</w:t>
            </w:r>
          </w:p>
        </w:tc>
        <w:tc>
          <w:tcPr>
            <w:tcW w:w="4139" w:type="dxa"/>
            <w:vAlign w:val="center"/>
          </w:tcPr>
          <w:p w14:paraId="1B6BB849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设计约束</w:t>
            </w:r>
          </w:p>
        </w:tc>
        <w:tc>
          <w:tcPr>
            <w:tcW w:w="2948" w:type="dxa"/>
            <w:vAlign w:val="center"/>
          </w:tcPr>
          <w:p w14:paraId="3D42C0A6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失败处理</w:t>
            </w:r>
          </w:p>
        </w:tc>
      </w:tr>
      <w:tr w14:paraId="5D03E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5DF36EC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请求上下文</w:t>
            </w:r>
          </w:p>
        </w:tc>
        <w:tc>
          <w:tcPr>
            <w:tcW w:w="4139" w:type="dxa"/>
            <w:vAlign w:val="center"/>
          </w:tcPr>
          <w:p w14:paraId="47B0B76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用户标识、页面模块、动作类型、过程名、参数和分页信息</w:t>
            </w:r>
          </w:p>
        </w:tc>
        <w:tc>
          <w:tcPr>
            <w:tcW w:w="2948" w:type="dxa"/>
            <w:vAlign w:val="center"/>
          </w:tcPr>
          <w:p w14:paraId="22AD31D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缺失身份或模块上下文直接拒绝</w:t>
            </w:r>
          </w:p>
        </w:tc>
      </w:tr>
      <w:tr w14:paraId="5BBF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5ED3BD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查询响应</w:t>
            </w:r>
          </w:p>
        </w:tc>
        <w:tc>
          <w:tcPr>
            <w:tcW w:w="4139" w:type="dxa"/>
            <w:vAlign w:val="center"/>
          </w:tcPr>
          <w:p w14:paraId="57A32FE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数据、总数、错误码、错误消息和关联标识</w:t>
            </w:r>
          </w:p>
        </w:tc>
        <w:tc>
          <w:tcPr>
            <w:tcW w:w="2948" w:type="dxa"/>
            <w:vAlign w:val="center"/>
          </w:tcPr>
          <w:p w14:paraId="37F98C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分页总数必须与结果粒度一致</w:t>
            </w:r>
          </w:p>
        </w:tc>
      </w:tr>
      <w:tr w14:paraId="5632B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081E3E7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写入响应</w:t>
            </w:r>
          </w:p>
        </w:tc>
        <w:tc>
          <w:tcPr>
            <w:tcW w:w="4139" w:type="dxa"/>
            <w:vAlign w:val="center"/>
          </w:tcPr>
          <w:p w14:paraId="273A22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成功标识、业务主键、状态和可重试提示</w:t>
            </w:r>
          </w:p>
        </w:tc>
        <w:tc>
          <w:tcPr>
            <w:tcW w:w="2948" w:type="dxa"/>
            <w:vAlign w:val="center"/>
          </w:tcPr>
          <w:p w14:paraId="5E22F1B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失败回滚并记录原因</w:t>
            </w:r>
          </w:p>
        </w:tc>
      </w:tr>
      <w:tr w14:paraId="03308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79636C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权限</w:t>
            </w:r>
          </w:p>
        </w:tc>
        <w:tc>
          <w:tcPr>
            <w:tcW w:w="4139" w:type="dxa"/>
            <w:vAlign w:val="center"/>
          </w:tcPr>
          <w:p w14:paraId="0FB072D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服务端校验菜单、按钮和数据范围</w:t>
            </w:r>
          </w:p>
        </w:tc>
        <w:tc>
          <w:tcPr>
            <w:tcW w:w="2948" w:type="dxa"/>
            <w:vAlign w:val="center"/>
          </w:tcPr>
          <w:p w14:paraId="1C097ED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前端隐藏不等于授权</w:t>
            </w:r>
          </w:p>
        </w:tc>
      </w:tr>
      <w:tr w14:paraId="5A5AD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97B8C8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幂等</w:t>
            </w:r>
          </w:p>
        </w:tc>
        <w:tc>
          <w:tcPr>
            <w:tcW w:w="4139" w:type="dxa"/>
            <w:vAlign w:val="center"/>
          </w:tcPr>
          <w:p w14:paraId="5D2628D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请求号或业务组合键可重复提交而不重复落库</w:t>
            </w:r>
          </w:p>
        </w:tc>
        <w:tc>
          <w:tcPr>
            <w:tcW w:w="2948" w:type="dxa"/>
            <w:vAlign w:val="center"/>
          </w:tcPr>
          <w:p w14:paraId="471BEC8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重复请求返回原结果或明确冲突</w:t>
            </w:r>
          </w:p>
        </w:tc>
      </w:tr>
    </w:tbl>
    <w:p w14:paraId="55AC4B57">
      <w:pPr>
        <w:bidi w:val="0"/>
        <w:rPr>
          <w:rFonts w:hint="default"/>
          <w:lang w:eastAsia="zh-CN"/>
        </w:rPr>
      </w:pPr>
    </w:p>
    <w:p w14:paraId="49F0494F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6.3 外部集成边界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1701"/>
        <w:gridCol w:w="2835"/>
        <w:gridCol w:w="2835"/>
      </w:tblGrid>
      <w:tr w14:paraId="2D848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701" w:type="dxa"/>
            <w:vAlign w:val="center"/>
          </w:tcPr>
          <w:p w14:paraId="3DA0E98C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系统</w:t>
            </w:r>
          </w:p>
        </w:tc>
        <w:tc>
          <w:tcPr>
            <w:tcW w:w="1701" w:type="dxa"/>
            <w:vAlign w:val="center"/>
          </w:tcPr>
          <w:p w14:paraId="0FDE2920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方向</w:t>
            </w:r>
          </w:p>
        </w:tc>
        <w:tc>
          <w:tcPr>
            <w:tcW w:w="2835" w:type="dxa"/>
            <w:vAlign w:val="center"/>
          </w:tcPr>
          <w:p w14:paraId="154921ED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数据</w:t>
            </w:r>
          </w:p>
        </w:tc>
        <w:tc>
          <w:tcPr>
            <w:tcW w:w="2835" w:type="dxa"/>
            <w:vAlign w:val="center"/>
          </w:tcPr>
          <w:p w14:paraId="05DED7F7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设计要求</w:t>
            </w:r>
          </w:p>
        </w:tc>
      </w:tr>
      <w:tr w14:paraId="73E19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7E21C5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SAP B1</w:t>
            </w:r>
          </w:p>
        </w:tc>
        <w:tc>
          <w:tcPr>
            <w:tcW w:w="1701" w:type="dxa"/>
            <w:vAlign w:val="center"/>
          </w:tcPr>
          <w:p w14:paraId="664318B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SAP→MES为主</w:t>
            </w:r>
          </w:p>
        </w:tc>
        <w:tc>
          <w:tcPr>
            <w:tcW w:w="2835" w:type="dxa"/>
            <w:vAlign w:val="center"/>
          </w:tcPr>
          <w:p w14:paraId="13DBBB0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订单、物料、BOM、采购和库存</w:t>
            </w:r>
          </w:p>
        </w:tc>
        <w:tc>
          <w:tcPr>
            <w:tcW w:w="2835" w:type="dxa"/>
            <w:vAlign w:val="center"/>
          </w:tcPr>
          <w:p w14:paraId="58FD67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明确主数据权威方、同步窗口和对账</w:t>
            </w:r>
          </w:p>
        </w:tc>
      </w:tr>
      <w:tr w14:paraId="16F4B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3AC4918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TM/库存</w:t>
            </w:r>
          </w:p>
        </w:tc>
        <w:tc>
          <w:tcPr>
            <w:tcW w:w="1701" w:type="dxa"/>
            <w:vAlign w:val="center"/>
          </w:tcPr>
          <w:p w14:paraId="5C496C3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双向按场景</w:t>
            </w:r>
          </w:p>
        </w:tc>
        <w:tc>
          <w:tcPr>
            <w:tcW w:w="2835" w:type="dxa"/>
            <w:vAlign w:val="center"/>
          </w:tcPr>
          <w:p w14:paraId="172E35C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领料、库存、拣配和搬运</w:t>
            </w:r>
          </w:p>
        </w:tc>
        <w:tc>
          <w:tcPr>
            <w:tcW w:w="2835" w:type="dxa"/>
            <w:vAlign w:val="center"/>
          </w:tcPr>
          <w:p w14:paraId="7D53FE5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超时重试、幂等和人工补偿</w:t>
            </w:r>
          </w:p>
        </w:tc>
      </w:tr>
      <w:tr w14:paraId="654F6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705F58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AGV</w:t>
            </w:r>
          </w:p>
        </w:tc>
        <w:tc>
          <w:tcPr>
            <w:tcW w:w="1701" w:type="dxa"/>
            <w:vAlign w:val="center"/>
          </w:tcPr>
          <w:p w14:paraId="71CAC0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MES→AGV并回传</w:t>
            </w:r>
          </w:p>
        </w:tc>
        <w:tc>
          <w:tcPr>
            <w:tcW w:w="2835" w:type="dxa"/>
            <w:vAlign w:val="center"/>
          </w:tcPr>
          <w:p w14:paraId="56814D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ContainerTransportOrder及任务状态</w:t>
            </w:r>
          </w:p>
        </w:tc>
        <w:tc>
          <w:tcPr>
            <w:tcW w:w="2835" w:type="dxa"/>
            <w:vAlign w:val="center"/>
          </w:tcPr>
          <w:p w14:paraId="0F3F48A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避免重复下发，记录外部任务号</w:t>
            </w:r>
          </w:p>
        </w:tc>
      </w:tr>
      <w:tr w14:paraId="082F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1F4992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设备/MQTT</w:t>
            </w:r>
          </w:p>
        </w:tc>
        <w:tc>
          <w:tcPr>
            <w:tcW w:w="1701" w:type="dxa"/>
            <w:vAlign w:val="center"/>
          </w:tcPr>
          <w:p w14:paraId="7634589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设备→MES，受控写入</w:t>
            </w:r>
          </w:p>
        </w:tc>
        <w:tc>
          <w:tcPr>
            <w:tcW w:w="2835" w:type="dxa"/>
            <w:vAlign w:val="center"/>
          </w:tcPr>
          <w:p w14:paraId="490FF48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变量、状态和设备命令</w:t>
            </w:r>
          </w:p>
        </w:tc>
        <w:tc>
          <w:tcPr>
            <w:tcW w:w="2835" w:type="dxa"/>
            <w:vAlign w:val="center"/>
          </w:tcPr>
          <w:p w14:paraId="55BAFFD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Tag白名单、范围校验和审计</w:t>
            </w:r>
          </w:p>
        </w:tc>
      </w:tr>
      <w:tr w14:paraId="48287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33CCE8D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文件服务</w:t>
            </w:r>
          </w:p>
        </w:tc>
        <w:tc>
          <w:tcPr>
            <w:tcW w:w="1701" w:type="dxa"/>
            <w:vAlign w:val="center"/>
          </w:tcPr>
          <w:p w14:paraId="15C3B56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MES↔文件服务</w:t>
            </w:r>
          </w:p>
        </w:tc>
        <w:tc>
          <w:tcPr>
            <w:tcW w:w="2835" w:type="dxa"/>
            <w:vAlign w:val="center"/>
          </w:tcPr>
          <w:p w14:paraId="48E3EA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图纸、工艺附件、检验附件</w:t>
            </w:r>
          </w:p>
        </w:tc>
        <w:tc>
          <w:tcPr>
            <w:tcW w:w="2835" w:type="dxa"/>
            <w:vAlign w:val="center"/>
          </w:tcPr>
          <w:p w14:paraId="5B96BD1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权限一致、哈希校验、版本化</w:t>
            </w:r>
          </w:p>
        </w:tc>
      </w:tr>
    </w:tbl>
    <w:p w14:paraId="01C0FEF0">
      <w:pPr>
        <w:bidi w:val="0"/>
        <w:rPr>
          <w:rFonts w:hint="default"/>
          <w:lang w:eastAsia="zh-CN"/>
        </w:rPr>
      </w:pPr>
    </w:p>
    <w:p w14:paraId="002522AA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6.4 超时、重试和对账</w:t>
      </w:r>
    </w:p>
    <w:p w14:paraId="1162F290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同步查询和写入采用分类超时；外部调用失败不得直接伪造成功状态。可重试错误使用指数退避和幂等键，业务不可重试错误进入人工处理队列。每日对订单、任务、库存、AGV和文件实体执行数量及状态对账，差异生成可关闭的问题单。</w:t>
      </w:r>
    </w:p>
    <w:p w14:paraId="27F93ADA">
      <w:pPr>
        <w:rPr>
          <w:rFonts w:hint="default" w:cs="Arial"/>
          <w:b w:val="0"/>
          <w:color w:val="000000"/>
          <w:sz w:val="21"/>
          <w:lang w:eastAsia="zh-CN"/>
        </w:rPr>
      </w:pPr>
      <w:r>
        <w:rPr>
          <w:rFonts w:hint="default" w:cs="Arial"/>
          <w:b w:val="0"/>
          <w:color w:val="000000"/>
          <w:sz w:val="21"/>
          <w:lang w:eastAsia="zh-CN"/>
        </w:rPr>
        <w:br w:type="page"/>
      </w:r>
    </w:p>
    <w:p w14:paraId="5C56E769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7 安全与权限设计</w:t>
      </w:r>
    </w:p>
    <w:p w14:paraId="57F4BF17">
      <w:pPr>
        <w:bidi w:val="0"/>
        <w:ind w:firstLine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760720" cy="2880360"/>
            <wp:effectExtent l="0" t="0" r="5080" b="2540"/>
            <wp:docPr id="6" name="图片 6" descr="permission-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ermission-flow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66BD">
      <w:pPr>
        <w:bidi w:val="0"/>
        <w:spacing w:after="160"/>
        <w:ind w:firstLine="0"/>
        <w:jc w:val="center"/>
        <w:rPr>
          <w:rFonts w:hint="eastAsia" w:cs="Arial"/>
          <w:b w:val="0"/>
          <w:color w:val="000000"/>
          <w:sz w:val="18"/>
          <w:lang w:eastAsia="zh-CN"/>
        </w:rPr>
      </w:pPr>
      <w:r>
        <w:rPr>
          <w:rFonts w:hint="eastAsia" w:cs="Arial"/>
          <w:b w:val="0"/>
          <w:color w:val="000000"/>
          <w:sz w:val="18"/>
          <w:lang w:eastAsia="zh-CN"/>
        </w:rPr>
        <w:t>图7-1 身份与权限设计</w:t>
      </w:r>
    </w:p>
    <w:p w14:paraId="07BA42B0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7.1 权限模型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8"/>
        <w:gridCol w:w="6804"/>
      </w:tblGrid>
      <w:tr w14:paraId="12215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2268" w:type="dxa"/>
            <w:vAlign w:val="center"/>
          </w:tcPr>
          <w:p w14:paraId="2D5300FE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控制点</w:t>
            </w:r>
          </w:p>
        </w:tc>
        <w:tc>
          <w:tcPr>
            <w:tcW w:w="6804" w:type="dxa"/>
            <w:vAlign w:val="center"/>
          </w:tcPr>
          <w:p w14:paraId="650E1190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设计</w:t>
            </w:r>
          </w:p>
        </w:tc>
      </w:tr>
      <w:tr w14:paraId="51977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3020CD5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身份认证</w:t>
            </w:r>
          </w:p>
        </w:tc>
        <w:tc>
          <w:tcPr>
            <w:tcW w:w="6804" w:type="dxa"/>
            <w:vAlign w:val="center"/>
          </w:tcPr>
          <w:p w14:paraId="24AD10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账号、密码、会话和登录失败控制；禁止共享账号</w:t>
            </w:r>
          </w:p>
        </w:tc>
      </w:tr>
      <w:tr w14:paraId="7F917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000DCCD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角色授权</w:t>
            </w:r>
          </w:p>
        </w:tc>
        <w:tc>
          <w:tcPr>
            <w:tcW w:w="6804" w:type="dxa"/>
            <w:vAlign w:val="center"/>
          </w:tcPr>
          <w:p w14:paraId="2DDFD74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用户可关联多个角色，权限取角色授权集合并按数据范围收敛</w:t>
            </w:r>
          </w:p>
        </w:tc>
      </w:tr>
      <w:tr w14:paraId="6D0E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7F9B6B5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菜单/按钮</w:t>
            </w:r>
          </w:p>
        </w:tc>
        <w:tc>
          <w:tcPr>
            <w:tcW w:w="6804" w:type="dxa"/>
            <w:vAlign w:val="center"/>
          </w:tcPr>
          <w:p w14:paraId="1D706B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菜单决定入口，按钮决定动作；查询、编辑、确认、删除分别授权</w:t>
            </w:r>
          </w:p>
        </w:tc>
      </w:tr>
      <w:tr w14:paraId="4FC0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3C6339F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数据范围</w:t>
            </w:r>
          </w:p>
        </w:tc>
        <w:tc>
          <w:tcPr>
            <w:tcW w:w="6804" w:type="dxa"/>
            <w:vAlign w:val="center"/>
          </w:tcPr>
          <w:p w14:paraId="5977A1E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按组织、工位、班组、订单或资源限制可见和可操作数据</w:t>
            </w:r>
          </w:p>
        </w:tc>
      </w:tr>
      <w:tr w14:paraId="6D7E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531F0A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审计</w:t>
            </w:r>
          </w:p>
        </w:tc>
        <w:tc>
          <w:tcPr>
            <w:tcW w:w="6804" w:type="dxa"/>
            <w:vAlign w:val="center"/>
          </w:tcPr>
          <w:p w14:paraId="4A8992A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记录登录、权限变更、关键写入、接口调用、设备写入和异常</w:t>
            </w:r>
          </w:p>
        </w:tc>
      </w:tr>
    </w:tbl>
    <w:p w14:paraId="7CAD1C09">
      <w:pPr>
        <w:bidi w:val="0"/>
        <w:rPr>
          <w:rFonts w:hint="default"/>
          <w:lang w:eastAsia="zh-CN"/>
        </w:rPr>
      </w:pPr>
    </w:p>
    <w:p w14:paraId="21F14769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7.2 安全基线</w:t>
      </w:r>
    </w:p>
    <w:p w14:paraId="1DDA9897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正式凭据只保存在服务端配置或密钥系统，前端包、日志和文档不得出现密码。</w:t>
      </w:r>
    </w:p>
    <w:p w14:paraId="77CB8CCD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SQL、文件路径、设备 Tag、外部命令和过程调用采用白名单与参数化策略。</w:t>
      </w:r>
    </w:p>
    <w:p w14:paraId="376230CB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图纸和附件下载必须经过业务权限校验，不能依赖公开目录地址。</w:t>
      </w:r>
    </w:p>
    <w:p w14:paraId="26E77361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设备写入、AGV下发、订单关闭和质量处置属于高风险动作，应二次确认并记录前后值。</w:t>
      </w:r>
    </w:p>
    <w:p w14:paraId="1E985B22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安全事件按账号、请求号、页面、时间、IP和业务主键关联，支持追溯。</w:t>
      </w:r>
    </w:p>
    <w:p w14:paraId="1D5648C8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152F3A5E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8 部署与运行设计</w:t>
      </w:r>
    </w:p>
    <w:p w14:paraId="520A55B0">
      <w:pPr>
        <w:bidi w:val="0"/>
        <w:ind w:firstLine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760720" cy="2880360"/>
            <wp:effectExtent l="0" t="0" r="5080" b="2540"/>
            <wp:docPr id="7" name="图片 7" descr="deployment-top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eployment-topology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3DE3E">
      <w:pPr>
        <w:bidi w:val="0"/>
        <w:spacing w:after="160"/>
        <w:ind w:firstLine="0"/>
        <w:jc w:val="center"/>
        <w:rPr>
          <w:rFonts w:hint="eastAsia" w:cs="Arial"/>
          <w:b w:val="0"/>
          <w:color w:val="000000"/>
          <w:sz w:val="18"/>
          <w:lang w:eastAsia="zh-CN"/>
        </w:rPr>
      </w:pPr>
      <w:r>
        <w:rPr>
          <w:rFonts w:hint="eastAsia" w:cs="Arial"/>
          <w:b w:val="0"/>
          <w:color w:val="000000"/>
          <w:sz w:val="18"/>
          <w:lang w:eastAsia="zh-CN"/>
        </w:rPr>
        <w:t>图8-1 正式环境部署拓扑</w:t>
      </w:r>
    </w:p>
    <w:p w14:paraId="3EBE0C99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8.1 环境划分</w:t>
      </w:r>
    </w:p>
    <w:tbl>
      <w:tblPr>
        <w:tblStyle w:val="8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2835"/>
        <w:gridCol w:w="2835"/>
        <w:gridCol w:w="1701"/>
      </w:tblGrid>
      <w:tr w14:paraId="71A2D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701" w:type="dxa"/>
            <w:vAlign w:val="center"/>
          </w:tcPr>
          <w:p w14:paraId="5876E9B1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环境</w:t>
            </w:r>
          </w:p>
        </w:tc>
        <w:tc>
          <w:tcPr>
            <w:tcW w:w="2835" w:type="dxa"/>
            <w:vAlign w:val="center"/>
          </w:tcPr>
          <w:p w14:paraId="4CA48CBE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用途</w:t>
            </w:r>
          </w:p>
        </w:tc>
        <w:tc>
          <w:tcPr>
            <w:tcW w:w="2835" w:type="dxa"/>
            <w:vAlign w:val="center"/>
          </w:tcPr>
          <w:p w14:paraId="056A4D68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数据策略</w:t>
            </w:r>
          </w:p>
        </w:tc>
        <w:tc>
          <w:tcPr>
            <w:tcW w:w="1701" w:type="dxa"/>
            <w:vAlign w:val="center"/>
          </w:tcPr>
          <w:p w14:paraId="08A43B5D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发布要求</w:t>
            </w:r>
          </w:p>
        </w:tc>
      </w:tr>
      <w:tr w14:paraId="65B46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495D29E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开发</w:t>
            </w:r>
          </w:p>
        </w:tc>
        <w:tc>
          <w:tcPr>
            <w:tcW w:w="2835" w:type="dxa"/>
            <w:vAlign w:val="center"/>
          </w:tcPr>
          <w:p w14:paraId="2B96EA6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功能开发和单元调试</w:t>
            </w:r>
          </w:p>
        </w:tc>
        <w:tc>
          <w:tcPr>
            <w:tcW w:w="2835" w:type="dxa"/>
            <w:vAlign w:val="center"/>
          </w:tcPr>
          <w:p w14:paraId="7806B1E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脱敏或模拟数据</w:t>
            </w:r>
          </w:p>
        </w:tc>
        <w:tc>
          <w:tcPr>
            <w:tcW w:w="1701" w:type="dxa"/>
            <w:vAlign w:val="center"/>
          </w:tcPr>
          <w:p w14:paraId="03E0A2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允许快速迭代</w:t>
            </w:r>
          </w:p>
        </w:tc>
      </w:tr>
      <w:tr w14:paraId="5516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55F9A5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测试/预发布</w:t>
            </w:r>
          </w:p>
        </w:tc>
        <w:tc>
          <w:tcPr>
            <w:tcW w:w="2835" w:type="dxa"/>
            <w:vAlign w:val="center"/>
          </w:tcPr>
          <w:p w14:paraId="42F307B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集成、回归、性能和权限验证</w:t>
            </w:r>
          </w:p>
        </w:tc>
        <w:tc>
          <w:tcPr>
            <w:tcW w:w="2835" w:type="dxa"/>
            <w:vAlign w:val="center"/>
          </w:tcPr>
          <w:p w14:paraId="3AE0212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接近正式结构的测试数据</w:t>
            </w:r>
          </w:p>
        </w:tc>
        <w:tc>
          <w:tcPr>
            <w:tcW w:w="1701" w:type="dxa"/>
            <w:vAlign w:val="center"/>
          </w:tcPr>
          <w:p w14:paraId="167B01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必须有版本化构建包</w:t>
            </w:r>
          </w:p>
        </w:tc>
      </w:tr>
      <w:tr w14:paraId="4D747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308F8AF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正式</w:t>
            </w:r>
          </w:p>
        </w:tc>
        <w:tc>
          <w:tcPr>
            <w:tcW w:w="2835" w:type="dxa"/>
            <w:vAlign w:val="center"/>
          </w:tcPr>
          <w:p w14:paraId="1B5B6DA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生产执行和经营数据</w:t>
            </w:r>
          </w:p>
        </w:tc>
        <w:tc>
          <w:tcPr>
            <w:tcW w:w="2835" w:type="dxa"/>
            <w:vAlign w:val="center"/>
          </w:tcPr>
          <w:p w14:paraId="4B15CF7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正式备份、审批和审计</w:t>
            </w:r>
          </w:p>
        </w:tc>
        <w:tc>
          <w:tcPr>
            <w:tcW w:w="1701" w:type="dxa"/>
            <w:vAlign w:val="center"/>
          </w:tcPr>
          <w:p w14:paraId="5A4B447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变更窗口、回退包和应急联系人齐备</w:t>
            </w:r>
          </w:p>
        </w:tc>
      </w:tr>
    </w:tbl>
    <w:p w14:paraId="2E9E241B">
      <w:pPr>
        <w:bidi w:val="0"/>
        <w:rPr>
          <w:rFonts w:hint="default"/>
          <w:lang w:eastAsia="zh-CN"/>
        </w:rPr>
      </w:pPr>
    </w:p>
    <w:p w14:paraId="54E45262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8.2 发布设计</w:t>
      </w:r>
    </w:p>
    <w:p w14:paraId="224A9EF9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构建阶段锁定依赖、生成版本号和校验文件；发布包包含 dist、运行时配置模板和回退包。</w:t>
      </w:r>
    </w:p>
    <w:p w14:paraId="0A77AB04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数据库脚本先在测试库执行并验证，再按审批顺序执行正式脚本；脚本必须可重复检查、可审计。</w:t>
      </w:r>
    </w:p>
    <w:p w14:paraId="0B2F315F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发布前备份数据库、配置、文件索引和当前前端包，发布后执行登录、查询、关键写入、外部接口和回退冒烟。</w:t>
      </w:r>
    </w:p>
    <w:p w14:paraId="7909AB8E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发布失败时先停止继续变更，依据故障范围选择前端回退、脚本回退或数据补偿，并保留现场日志。</w:t>
      </w:r>
    </w:p>
    <w:p w14:paraId="1EDCBC29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8.3 可用性和恢复目标</w:t>
      </w:r>
    </w:p>
    <w:tbl>
      <w:tblPr>
        <w:tblStyle w:val="8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4536"/>
        <w:gridCol w:w="2552"/>
      </w:tblGrid>
      <w:tr w14:paraId="3B452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984" w:type="dxa"/>
            <w:vAlign w:val="center"/>
          </w:tcPr>
          <w:p w14:paraId="2F4252E5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指标</w:t>
            </w:r>
          </w:p>
        </w:tc>
        <w:tc>
          <w:tcPr>
            <w:tcW w:w="4536" w:type="dxa"/>
            <w:vAlign w:val="center"/>
          </w:tcPr>
          <w:p w14:paraId="219B5F29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设计基线</w:t>
            </w:r>
          </w:p>
        </w:tc>
        <w:tc>
          <w:tcPr>
            <w:tcW w:w="2552" w:type="dxa"/>
            <w:vAlign w:val="center"/>
          </w:tcPr>
          <w:p w14:paraId="392AB2EF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验证方式</w:t>
            </w:r>
          </w:p>
        </w:tc>
      </w:tr>
      <w:tr w14:paraId="3C347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2742F48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RPO</w:t>
            </w:r>
          </w:p>
        </w:tc>
        <w:tc>
          <w:tcPr>
            <w:tcW w:w="4536" w:type="dxa"/>
            <w:vAlign w:val="center"/>
          </w:tcPr>
          <w:p w14:paraId="5F11F9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核心数据库按备份策略可恢复；日志和附件纳入备份范围</w:t>
            </w:r>
          </w:p>
        </w:tc>
        <w:tc>
          <w:tcPr>
            <w:tcW w:w="2552" w:type="dxa"/>
            <w:vAlign w:val="center"/>
          </w:tcPr>
          <w:p w14:paraId="781DF8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备份恢复演练</w:t>
            </w:r>
          </w:p>
        </w:tc>
      </w:tr>
      <w:tr w14:paraId="28EEB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3ECE074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RTO</w:t>
            </w:r>
          </w:p>
        </w:tc>
        <w:tc>
          <w:tcPr>
            <w:tcW w:w="4536" w:type="dxa"/>
            <w:vAlign w:val="center"/>
          </w:tcPr>
          <w:p w14:paraId="4F356C8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按故障等级定义恢复时限，关键生产入口优先</w:t>
            </w:r>
          </w:p>
        </w:tc>
        <w:tc>
          <w:tcPr>
            <w:tcW w:w="2552" w:type="dxa"/>
            <w:vAlign w:val="center"/>
          </w:tcPr>
          <w:p w14:paraId="5EBBCF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故障演练记录</w:t>
            </w:r>
          </w:p>
        </w:tc>
      </w:tr>
      <w:tr w14:paraId="68C87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05AA0F6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查询性能</w:t>
            </w:r>
          </w:p>
        </w:tc>
        <w:tc>
          <w:tcPr>
            <w:tcW w:w="4536" w:type="dxa"/>
            <w:vAlign w:val="center"/>
          </w:tcPr>
          <w:p w14:paraId="683468A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常用列表在目标数据量下满足页面交互时延</w:t>
            </w:r>
          </w:p>
        </w:tc>
        <w:tc>
          <w:tcPr>
            <w:tcW w:w="2552" w:type="dxa"/>
            <w:vAlign w:val="center"/>
          </w:tcPr>
          <w:p w14:paraId="7A8E6DE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代表性数据压测</w:t>
            </w:r>
          </w:p>
        </w:tc>
      </w:tr>
      <w:tr w14:paraId="794E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55EFB7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并发控制</w:t>
            </w:r>
          </w:p>
        </w:tc>
        <w:tc>
          <w:tcPr>
            <w:tcW w:w="4536" w:type="dxa"/>
            <w:vAlign w:val="center"/>
          </w:tcPr>
          <w:p w14:paraId="3550C1F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同一任务的排产、报工、关闭和质量处置避免并发覆盖</w:t>
            </w:r>
          </w:p>
        </w:tc>
        <w:tc>
          <w:tcPr>
            <w:tcW w:w="2552" w:type="dxa"/>
            <w:vAlign w:val="center"/>
          </w:tcPr>
          <w:p w14:paraId="2E519B7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冲突测试、版本校验</w:t>
            </w:r>
          </w:p>
        </w:tc>
      </w:tr>
      <w:tr w14:paraId="442DC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4A931E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容量</w:t>
            </w:r>
          </w:p>
        </w:tc>
        <w:tc>
          <w:tcPr>
            <w:tcW w:w="4536" w:type="dxa"/>
            <w:vAlign w:val="center"/>
          </w:tcPr>
          <w:p w14:paraId="406776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每月记录数据库、附件、日志和核心表增长率</w:t>
            </w:r>
          </w:p>
        </w:tc>
        <w:tc>
          <w:tcPr>
            <w:tcW w:w="2552" w:type="dxa"/>
            <w:vAlign w:val="center"/>
          </w:tcPr>
          <w:p w14:paraId="66D9598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容量趋势报告</w:t>
            </w:r>
          </w:p>
        </w:tc>
      </w:tr>
    </w:tbl>
    <w:p w14:paraId="15282463">
      <w:pPr>
        <w:bidi w:val="0"/>
        <w:rPr>
          <w:rFonts w:hint="default"/>
          <w:lang w:eastAsia="zh-CN"/>
        </w:rPr>
      </w:pPr>
    </w:p>
    <w:p w14:paraId="7DA8768F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2C96C346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9 测试与验收设计</w:t>
      </w:r>
    </w:p>
    <w:p w14:paraId="3D0BCDDB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9.1 测试层次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3969"/>
        <w:gridCol w:w="3402"/>
      </w:tblGrid>
      <w:tr w14:paraId="18D4B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701" w:type="dxa"/>
            <w:vAlign w:val="center"/>
          </w:tcPr>
          <w:p w14:paraId="41E0A0FE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层次</w:t>
            </w:r>
          </w:p>
        </w:tc>
        <w:tc>
          <w:tcPr>
            <w:tcW w:w="3969" w:type="dxa"/>
            <w:vAlign w:val="center"/>
          </w:tcPr>
          <w:p w14:paraId="1DFD93A2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对象</w:t>
            </w:r>
          </w:p>
        </w:tc>
        <w:tc>
          <w:tcPr>
            <w:tcW w:w="3402" w:type="dxa"/>
            <w:vAlign w:val="center"/>
          </w:tcPr>
          <w:p w14:paraId="6939D718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通过标准</w:t>
            </w:r>
          </w:p>
        </w:tc>
      </w:tr>
      <w:tr w14:paraId="1AF48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19E534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单元/过程测试</w:t>
            </w:r>
          </w:p>
        </w:tc>
        <w:tc>
          <w:tcPr>
            <w:tcW w:w="3969" w:type="dxa"/>
            <w:vAlign w:val="center"/>
          </w:tcPr>
          <w:p w14:paraId="508E0F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校验、状态转换、计算和异常分支</w:t>
            </w:r>
          </w:p>
        </w:tc>
        <w:tc>
          <w:tcPr>
            <w:tcW w:w="3402" w:type="dxa"/>
            <w:vAlign w:val="center"/>
          </w:tcPr>
          <w:p w14:paraId="0DDFA71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规则边界和回滚正确</w:t>
            </w:r>
          </w:p>
        </w:tc>
      </w:tr>
      <w:tr w14:paraId="5F7AE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0B770E5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接口测试</w:t>
            </w:r>
          </w:p>
        </w:tc>
        <w:tc>
          <w:tcPr>
            <w:tcW w:w="3969" w:type="dxa"/>
            <w:vAlign w:val="center"/>
          </w:tcPr>
          <w:p w14:paraId="3623635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MES通用、SAP/TM、AGV、设备和文件接口</w:t>
            </w:r>
          </w:p>
        </w:tc>
        <w:tc>
          <w:tcPr>
            <w:tcW w:w="3402" w:type="dxa"/>
            <w:vAlign w:val="center"/>
          </w:tcPr>
          <w:p w14:paraId="3BD966B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契约、超时、重试和幂等通过</w:t>
            </w:r>
          </w:p>
        </w:tc>
      </w:tr>
      <w:tr w14:paraId="08F35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4C388F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集成测试</w:t>
            </w:r>
          </w:p>
        </w:tc>
        <w:tc>
          <w:tcPr>
            <w:tcW w:w="3969" w:type="dxa"/>
            <w:vAlign w:val="center"/>
          </w:tcPr>
          <w:p w14:paraId="6539971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订单→工艺→排产→执行→质量→交付</w:t>
            </w:r>
          </w:p>
        </w:tc>
        <w:tc>
          <w:tcPr>
            <w:tcW w:w="3402" w:type="dxa"/>
            <w:vAlign w:val="center"/>
          </w:tcPr>
          <w:p w14:paraId="205B91D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主链路和失败链路可追踪</w:t>
            </w:r>
          </w:p>
        </w:tc>
      </w:tr>
      <w:tr w14:paraId="67E3C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48BDD58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权限测试</w:t>
            </w:r>
          </w:p>
        </w:tc>
        <w:tc>
          <w:tcPr>
            <w:tcW w:w="3969" w:type="dxa"/>
            <w:vAlign w:val="center"/>
          </w:tcPr>
          <w:p w14:paraId="1E299B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角色、按钮、数据范围和越权路径</w:t>
            </w:r>
          </w:p>
        </w:tc>
        <w:tc>
          <w:tcPr>
            <w:tcW w:w="3402" w:type="dxa"/>
            <w:vAlign w:val="center"/>
          </w:tcPr>
          <w:p w14:paraId="65D195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无越权、无水平或垂直越权</w:t>
            </w:r>
          </w:p>
        </w:tc>
      </w:tr>
      <w:tr w14:paraId="3C777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4E75D05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性能/恢复</w:t>
            </w:r>
          </w:p>
        </w:tc>
        <w:tc>
          <w:tcPr>
            <w:tcW w:w="3969" w:type="dxa"/>
            <w:vAlign w:val="center"/>
          </w:tcPr>
          <w:p w14:paraId="5445CC6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并发、慢查询、备份恢复和发布回退</w:t>
            </w:r>
          </w:p>
        </w:tc>
        <w:tc>
          <w:tcPr>
            <w:tcW w:w="3402" w:type="dxa"/>
            <w:vAlign w:val="center"/>
          </w:tcPr>
          <w:p w14:paraId="6CE3CFE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达到指标且演练可重复</w:t>
            </w:r>
          </w:p>
        </w:tc>
      </w:tr>
      <w:tr w14:paraId="10DC2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1" w:type="dxa"/>
            <w:vAlign w:val="center"/>
          </w:tcPr>
          <w:p w14:paraId="572C3F1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用户验收</w:t>
            </w:r>
          </w:p>
        </w:tc>
        <w:tc>
          <w:tcPr>
            <w:tcW w:w="3969" w:type="dxa"/>
            <w:vAlign w:val="center"/>
          </w:tcPr>
          <w:p w14:paraId="06DED9F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计划员、工艺、班组、质量、管理人员场景</w:t>
            </w:r>
          </w:p>
        </w:tc>
        <w:tc>
          <w:tcPr>
            <w:tcW w:w="3402" w:type="dxa"/>
            <w:vAlign w:val="center"/>
          </w:tcPr>
          <w:p w14:paraId="67F841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关键岗位签字确认</w:t>
            </w:r>
          </w:p>
        </w:tc>
      </w:tr>
    </w:tbl>
    <w:p w14:paraId="77BDF6E2">
      <w:pPr>
        <w:bidi w:val="0"/>
        <w:rPr>
          <w:rFonts w:hint="default"/>
          <w:lang w:eastAsia="zh-CN"/>
        </w:rPr>
      </w:pPr>
    </w:p>
    <w:p w14:paraId="04D25137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9.2 核心验收场景</w:t>
      </w:r>
    </w:p>
    <w:p w14:paraId="495A00AC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订单导入后生成标准工艺和生产工艺，验证保存、启用、下发、编辑和版本边界。</w:t>
      </w:r>
    </w:p>
    <w:p w14:paraId="6B9E60BB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机加件和装配件分别排产，验证工位、人员、数量、计划时间、外协分组和已/未排产查询粒度。</w:t>
      </w:r>
    </w:p>
    <w:p w14:paraId="009A1B59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执行收料、开工、暂停、恢复、报工、送检和完成，验证状态机、数量和工时记录。</w:t>
      </w:r>
    </w:p>
    <w:p w14:paraId="0C67CE3C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质量合格、不合格、返工、让步和报废分别验证下游状态和追溯。</w:t>
      </w:r>
    </w:p>
    <w:p w14:paraId="19DE2900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外部接口成功、超时、重复提交和部分成功分别验证重试、对账和人工补偿。</w:t>
      </w:r>
    </w:p>
    <w:p w14:paraId="5D4B5790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权限矩阵逐角色验证查询、编辑、确认、删除、设备写入和附件下载。</w:t>
      </w:r>
    </w:p>
    <w:p w14:paraId="7505FD87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9.3 验收交付物</w:t>
      </w:r>
    </w:p>
    <w:tbl>
      <w:tblPr>
        <w:tblStyle w:val="8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5103"/>
        <w:gridCol w:w="1984"/>
      </w:tblGrid>
      <w:tr w14:paraId="0C477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984" w:type="dxa"/>
            <w:vAlign w:val="center"/>
          </w:tcPr>
          <w:p w14:paraId="788F4DC7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交付物</w:t>
            </w:r>
          </w:p>
        </w:tc>
        <w:tc>
          <w:tcPr>
            <w:tcW w:w="5103" w:type="dxa"/>
            <w:vAlign w:val="center"/>
          </w:tcPr>
          <w:p w14:paraId="188D4955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  <w:tc>
          <w:tcPr>
            <w:tcW w:w="1984" w:type="dxa"/>
            <w:vAlign w:val="center"/>
          </w:tcPr>
          <w:p w14:paraId="2AA8C750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责任方</w:t>
            </w:r>
          </w:p>
        </w:tc>
      </w:tr>
      <w:tr w14:paraId="4B221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46EFB9F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设计基线</w:t>
            </w:r>
          </w:p>
        </w:tc>
        <w:tc>
          <w:tcPr>
            <w:tcW w:w="5103" w:type="dxa"/>
            <w:vAlign w:val="center"/>
          </w:tcPr>
          <w:p w14:paraId="1E68EC1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架构、数据、接口、状态和非功能要求</w:t>
            </w:r>
          </w:p>
        </w:tc>
        <w:tc>
          <w:tcPr>
            <w:tcW w:w="1984" w:type="dxa"/>
            <w:vAlign w:val="center"/>
          </w:tcPr>
          <w:p w14:paraId="5016E32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架构/产品</w:t>
            </w:r>
          </w:p>
        </w:tc>
      </w:tr>
      <w:tr w14:paraId="5E64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3A53E52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测试证据</w:t>
            </w:r>
          </w:p>
        </w:tc>
        <w:tc>
          <w:tcPr>
            <w:tcW w:w="5103" w:type="dxa"/>
            <w:vAlign w:val="center"/>
          </w:tcPr>
          <w:p w14:paraId="7C5A31F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用例、结果、缺陷、性能和恢复记录</w:t>
            </w:r>
          </w:p>
        </w:tc>
        <w:tc>
          <w:tcPr>
            <w:tcW w:w="1984" w:type="dxa"/>
            <w:vAlign w:val="center"/>
          </w:tcPr>
          <w:p w14:paraId="78139B7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测试/运维</w:t>
            </w:r>
          </w:p>
        </w:tc>
      </w:tr>
      <w:tr w14:paraId="21BB1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6017169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变更证据</w:t>
            </w:r>
          </w:p>
        </w:tc>
        <w:tc>
          <w:tcPr>
            <w:tcW w:w="5103" w:type="dxa"/>
            <w:vAlign w:val="center"/>
          </w:tcPr>
          <w:p w14:paraId="0B2EABA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版本号、审批、脚本、备份和回退记录</w:t>
            </w:r>
          </w:p>
        </w:tc>
        <w:tc>
          <w:tcPr>
            <w:tcW w:w="1984" w:type="dxa"/>
            <w:vAlign w:val="center"/>
          </w:tcPr>
          <w:p w14:paraId="61D76C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开发/实施</w:t>
            </w:r>
          </w:p>
        </w:tc>
      </w:tr>
      <w:tr w14:paraId="295B7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5A2E68C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运行证据</w:t>
            </w:r>
          </w:p>
        </w:tc>
        <w:tc>
          <w:tcPr>
            <w:tcW w:w="5103" w:type="dxa"/>
            <w:vAlign w:val="center"/>
          </w:tcPr>
          <w:p w14:paraId="26D94C6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监控、告警、权限、审计和对账结果</w:t>
            </w:r>
          </w:p>
        </w:tc>
        <w:tc>
          <w:tcPr>
            <w:tcW w:w="1984" w:type="dxa"/>
            <w:vAlign w:val="center"/>
          </w:tcPr>
          <w:p w14:paraId="20A77F6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运维/业务</w:t>
            </w:r>
          </w:p>
        </w:tc>
      </w:tr>
    </w:tbl>
    <w:p w14:paraId="4B7396A1">
      <w:pPr>
        <w:bidi w:val="0"/>
        <w:rPr>
          <w:rFonts w:hint="default"/>
          <w:lang w:eastAsia="zh-CN"/>
        </w:rPr>
      </w:pPr>
    </w:p>
    <w:p w14:paraId="2FA40486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1D9E654D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10 设计风险与演进路线</w:t>
      </w:r>
    </w:p>
    <w:tbl>
      <w:tblPr>
        <w:tblStyle w:val="8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3119"/>
        <w:gridCol w:w="2381"/>
        <w:gridCol w:w="3289"/>
      </w:tblGrid>
      <w:tr w14:paraId="6261E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134" w:type="dxa"/>
            <w:vAlign w:val="center"/>
          </w:tcPr>
          <w:p w14:paraId="226D6046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优先级</w:t>
            </w:r>
          </w:p>
        </w:tc>
        <w:tc>
          <w:tcPr>
            <w:tcW w:w="3119" w:type="dxa"/>
            <w:vAlign w:val="center"/>
          </w:tcPr>
          <w:p w14:paraId="00426F6C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设计风险</w:t>
            </w:r>
          </w:p>
        </w:tc>
        <w:tc>
          <w:tcPr>
            <w:tcW w:w="2381" w:type="dxa"/>
            <w:vAlign w:val="center"/>
          </w:tcPr>
          <w:p w14:paraId="661641E6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影响</w:t>
            </w:r>
          </w:p>
        </w:tc>
        <w:tc>
          <w:tcPr>
            <w:tcW w:w="3289" w:type="dxa"/>
            <w:vAlign w:val="center"/>
          </w:tcPr>
          <w:p w14:paraId="60333820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演进动作</w:t>
            </w:r>
          </w:p>
        </w:tc>
      </w:tr>
      <w:tr w14:paraId="3696B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34" w:type="dxa"/>
            <w:vAlign w:val="center"/>
          </w:tcPr>
          <w:p w14:paraId="408420A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P0</w:t>
            </w:r>
          </w:p>
        </w:tc>
        <w:tc>
          <w:tcPr>
            <w:tcW w:w="3119" w:type="dxa"/>
            <w:vAlign w:val="center"/>
          </w:tcPr>
          <w:p w14:paraId="1C2FBF2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前端上下文不足或服务端权限不强制</w:t>
            </w:r>
          </w:p>
        </w:tc>
        <w:tc>
          <w:tcPr>
            <w:tcW w:w="2381" w:type="dxa"/>
            <w:vAlign w:val="center"/>
          </w:tcPr>
          <w:p w14:paraId="0D127B0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越权和审计失效</w:t>
            </w:r>
          </w:p>
        </w:tc>
        <w:tc>
          <w:tcPr>
            <w:tcW w:w="3289" w:type="dxa"/>
            <w:vAlign w:val="center"/>
          </w:tcPr>
          <w:p w14:paraId="563C1BF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统一服务端鉴权、权限穿透测试和审计关联</w:t>
            </w:r>
          </w:p>
        </w:tc>
      </w:tr>
      <w:tr w14:paraId="0C5D2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34" w:type="dxa"/>
            <w:vAlign w:val="center"/>
          </w:tcPr>
          <w:p w14:paraId="0C66AD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P1</w:t>
            </w:r>
          </w:p>
        </w:tc>
        <w:tc>
          <w:tcPr>
            <w:tcW w:w="3119" w:type="dxa"/>
            <w:vAlign w:val="center"/>
          </w:tcPr>
          <w:p w14:paraId="2C607C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过程与页面字段耦合，缺少版本化契约</w:t>
            </w:r>
          </w:p>
        </w:tc>
        <w:tc>
          <w:tcPr>
            <w:tcW w:w="2381" w:type="dxa"/>
            <w:vAlign w:val="center"/>
          </w:tcPr>
          <w:p w14:paraId="5AEE342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升级回归和接口兼容风险</w:t>
            </w:r>
          </w:p>
        </w:tc>
        <w:tc>
          <w:tcPr>
            <w:tcW w:w="3289" w:type="dxa"/>
            <w:vAlign w:val="center"/>
          </w:tcPr>
          <w:p w14:paraId="7B9CA4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建立接口契约、过程版本和自动化回归</w:t>
            </w:r>
          </w:p>
        </w:tc>
      </w:tr>
      <w:tr w14:paraId="5421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34" w:type="dxa"/>
            <w:vAlign w:val="center"/>
          </w:tcPr>
          <w:p w14:paraId="6B7187F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P1</w:t>
            </w:r>
          </w:p>
        </w:tc>
        <w:tc>
          <w:tcPr>
            <w:tcW w:w="3119" w:type="dxa"/>
            <w:vAlign w:val="center"/>
          </w:tcPr>
          <w:p w14:paraId="436FB4C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工艺版本一对多关联导致任务结果膨胀</w:t>
            </w:r>
          </w:p>
        </w:tc>
        <w:tc>
          <w:tcPr>
            <w:tcW w:w="2381" w:type="dxa"/>
            <w:vAlign w:val="center"/>
          </w:tcPr>
          <w:p w14:paraId="6DE889F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计划数量、报表和排产判断失真</w:t>
            </w:r>
          </w:p>
        </w:tc>
        <w:tc>
          <w:tcPr>
            <w:tcW w:w="3289" w:type="dxa"/>
            <w:vAlign w:val="center"/>
          </w:tcPr>
          <w:p w14:paraId="634C2B0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明确当前启用版本，查询按版本去重并建立数据质量检查</w:t>
            </w:r>
          </w:p>
        </w:tc>
      </w:tr>
      <w:tr w14:paraId="00F7C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34" w:type="dxa"/>
            <w:vAlign w:val="center"/>
          </w:tcPr>
          <w:p w14:paraId="3DFE9D9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P1</w:t>
            </w:r>
          </w:p>
        </w:tc>
        <w:tc>
          <w:tcPr>
            <w:tcW w:w="3119" w:type="dxa"/>
            <w:vAlign w:val="center"/>
          </w:tcPr>
          <w:p w14:paraId="345C4B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外部接口缺乏统一幂等与补偿</w:t>
            </w:r>
          </w:p>
        </w:tc>
        <w:tc>
          <w:tcPr>
            <w:tcW w:w="2381" w:type="dxa"/>
            <w:vAlign w:val="center"/>
          </w:tcPr>
          <w:p w14:paraId="3BF1091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重复任务或状态不一致</w:t>
            </w:r>
          </w:p>
        </w:tc>
        <w:tc>
          <w:tcPr>
            <w:tcW w:w="3289" w:type="dxa"/>
            <w:vAlign w:val="center"/>
          </w:tcPr>
          <w:p w14:paraId="229E56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统一请求号、对账任务和人工补偿队列</w:t>
            </w:r>
          </w:p>
        </w:tc>
      </w:tr>
      <w:tr w14:paraId="74F7C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34" w:type="dxa"/>
            <w:vAlign w:val="center"/>
          </w:tcPr>
          <w:p w14:paraId="418D4A6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P2</w:t>
            </w:r>
          </w:p>
        </w:tc>
        <w:tc>
          <w:tcPr>
            <w:tcW w:w="3119" w:type="dxa"/>
            <w:vAlign w:val="center"/>
          </w:tcPr>
          <w:p w14:paraId="679F3C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大页面和大过程维护成本高</w:t>
            </w:r>
          </w:p>
        </w:tc>
        <w:tc>
          <w:tcPr>
            <w:tcW w:w="2381" w:type="dxa"/>
            <w:vAlign w:val="center"/>
          </w:tcPr>
          <w:p w14:paraId="51FC479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变更影响面大</w:t>
            </w:r>
          </w:p>
        </w:tc>
        <w:tc>
          <w:tcPr>
            <w:tcW w:w="3289" w:type="dxa"/>
            <w:vAlign w:val="center"/>
          </w:tcPr>
          <w:p w14:paraId="7BC5101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按业务域拆分服务、查询和前端页面</w:t>
            </w:r>
          </w:p>
        </w:tc>
      </w:tr>
      <w:tr w14:paraId="4214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34" w:type="dxa"/>
            <w:vAlign w:val="center"/>
          </w:tcPr>
          <w:p w14:paraId="0F17009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P2</w:t>
            </w:r>
          </w:p>
        </w:tc>
        <w:tc>
          <w:tcPr>
            <w:tcW w:w="3119" w:type="dxa"/>
            <w:vAlign w:val="center"/>
          </w:tcPr>
          <w:p w14:paraId="12BAC2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统计和事实数据边界不清</w:t>
            </w:r>
          </w:p>
        </w:tc>
        <w:tc>
          <w:tcPr>
            <w:tcW w:w="2381" w:type="dxa"/>
            <w:vAlign w:val="center"/>
          </w:tcPr>
          <w:p w14:paraId="35909C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报表与现场状态不一致</w:t>
            </w:r>
          </w:p>
        </w:tc>
        <w:tc>
          <w:tcPr>
            <w:tcW w:w="3289" w:type="dxa"/>
            <w:vAlign w:val="center"/>
          </w:tcPr>
          <w:p w14:paraId="6F4620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建立数据产品层和指标口径管理</w:t>
            </w:r>
          </w:p>
        </w:tc>
      </w:tr>
    </w:tbl>
    <w:p w14:paraId="4AE3FFF9">
      <w:pPr>
        <w:bidi w:val="0"/>
        <w:rPr>
          <w:rFonts w:hint="default"/>
          <w:lang w:eastAsia="zh-CN"/>
        </w:rPr>
      </w:pPr>
    </w:p>
    <w:p w14:paraId="68FC134A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10.1 分阶段演进</w:t>
      </w:r>
    </w:p>
    <w:tbl>
      <w:tblPr>
        <w:tblStyle w:val="8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8"/>
        <w:gridCol w:w="4536"/>
        <w:gridCol w:w="3119"/>
      </w:tblGrid>
      <w:tr w14:paraId="0A704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2268" w:type="dxa"/>
            <w:vAlign w:val="center"/>
          </w:tcPr>
          <w:p w14:paraId="3D05002A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阶段</w:t>
            </w:r>
          </w:p>
        </w:tc>
        <w:tc>
          <w:tcPr>
            <w:tcW w:w="4536" w:type="dxa"/>
            <w:vAlign w:val="center"/>
          </w:tcPr>
          <w:p w14:paraId="44CF262F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重点</w:t>
            </w:r>
          </w:p>
        </w:tc>
        <w:tc>
          <w:tcPr>
            <w:tcW w:w="3119" w:type="dxa"/>
            <w:vAlign w:val="center"/>
          </w:tcPr>
          <w:p w14:paraId="7BC66F9C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完成标志</w:t>
            </w:r>
          </w:p>
        </w:tc>
      </w:tr>
      <w:tr w14:paraId="1EA61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6BBE45A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阶段一：基线治理</w:t>
            </w:r>
          </w:p>
        </w:tc>
        <w:tc>
          <w:tcPr>
            <w:tcW w:w="4536" w:type="dxa"/>
            <w:vAlign w:val="center"/>
          </w:tcPr>
          <w:p w14:paraId="2520D84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权限、凭据、过程契约、工艺版本和备份恢复</w:t>
            </w:r>
          </w:p>
        </w:tc>
        <w:tc>
          <w:tcPr>
            <w:tcW w:w="3119" w:type="dxa"/>
            <w:vAlign w:val="center"/>
          </w:tcPr>
          <w:p w14:paraId="49F2A4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风险项有负责人和验证记录</w:t>
            </w:r>
          </w:p>
        </w:tc>
      </w:tr>
      <w:tr w14:paraId="535A6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6D2B9D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阶段二：稳定性提升</w:t>
            </w:r>
          </w:p>
        </w:tc>
        <w:tc>
          <w:tcPr>
            <w:tcW w:w="4536" w:type="dxa"/>
            <w:vAlign w:val="center"/>
          </w:tcPr>
          <w:p w14:paraId="77DF04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接口幂等、对账、监控、慢查询和自动化回归</w:t>
            </w:r>
          </w:p>
        </w:tc>
        <w:tc>
          <w:tcPr>
            <w:tcW w:w="3119" w:type="dxa"/>
            <w:vAlign w:val="center"/>
          </w:tcPr>
          <w:p w14:paraId="55A7B10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关键链路可观测、可恢复</w:t>
            </w:r>
          </w:p>
        </w:tc>
      </w:tr>
      <w:tr w14:paraId="728EC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4CFA34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阶段三：领域演进</w:t>
            </w:r>
          </w:p>
        </w:tc>
        <w:tc>
          <w:tcPr>
            <w:tcW w:w="4536" w:type="dxa"/>
            <w:vAlign w:val="center"/>
          </w:tcPr>
          <w:p w14:paraId="270491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按业务域拆分、统一状态服务、数据产品和容量治理</w:t>
            </w:r>
          </w:p>
        </w:tc>
        <w:tc>
          <w:tcPr>
            <w:tcW w:w="3119" w:type="dxa"/>
            <w:vAlign w:val="center"/>
          </w:tcPr>
          <w:p w14:paraId="6DF5F3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新功能不依赖跨域直接改表</w:t>
            </w:r>
          </w:p>
        </w:tc>
      </w:tr>
      <w:tr w14:paraId="2DFDE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2E2E556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阶段四：智能优化</w:t>
            </w:r>
          </w:p>
        </w:tc>
        <w:tc>
          <w:tcPr>
            <w:tcW w:w="4536" w:type="dxa"/>
            <w:vAlign w:val="center"/>
          </w:tcPr>
          <w:p w14:paraId="09ACB03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负荷预测、异常推荐、设备分析和工艺成本优化</w:t>
            </w:r>
          </w:p>
        </w:tc>
        <w:tc>
          <w:tcPr>
            <w:tcW w:w="3119" w:type="dxa"/>
            <w:vAlign w:val="center"/>
          </w:tcPr>
          <w:p w14:paraId="59C29B4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模型结果可解释且不绕过业务审批</w:t>
            </w:r>
          </w:p>
        </w:tc>
      </w:tr>
    </w:tbl>
    <w:p w14:paraId="0BEE3676">
      <w:pPr>
        <w:bidi w:val="0"/>
        <w:rPr>
          <w:rFonts w:hint="default"/>
          <w:lang w:eastAsia="zh-CN"/>
        </w:rPr>
      </w:pPr>
    </w:p>
    <w:p w14:paraId="57EF1945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0175648E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附录A 设计追踪矩阵</w:t>
      </w:r>
    </w:p>
    <w:tbl>
      <w:tblPr>
        <w:tblStyle w:val="8"/>
        <w:tblW w:w="100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8"/>
        <w:gridCol w:w="2268"/>
        <w:gridCol w:w="3289"/>
        <w:gridCol w:w="2268"/>
      </w:tblGrid>
      <w:tr w14:paraId="224E5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2268" w:type="dxa"/>
            <w:vAlign w:val="center"/>
          </w:tcPr>
          <w:p w14:paraId="380FA1AD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需求/目标</w:t>
            </w:r>
          </w:p>
        </w:tc>
        <w:tc>
          <w:tcPr>
            <w:tcW w:w="2268" w:type="dxa"/>
            <w:vAlign w:val="center"/>
          </w:tcPr>
          <w:p w14:paraId="4E4DEF40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设计章节</w:t>
            </w:r>
          </w:p>
        </w:tc>
        <w:tc>
          <w:tcPr>
            <w:tcW w:w="3289" w:type="dxa"/>
            <w:vAlign w:val="center"/>
          </w:tcPr>
          <w:p w14:paraId="537D976D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实现/验证对象</w:t>
            </w:r>
          </w:p>
        </w:tc>
        <w:tc>
          <w:tcPr>
            <w:tcW w:w="2268" w:type="dxa"/>
            <w:vAlign w:val="center"/>
          </w:tcPr>
          <w:p w14:paraId="40F38D21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验收证据</w:t>
            </w:r>
          </w:p>
        </w:tc>
      </w:tr>
      <w:tr w14:paraId="3A10A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5C25673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订单可追溯</w:t>
            </w:r>
          </w:p>
        </w:tc>
        <w:tc>
          <w:tcPr>
            <w:tcW w:w="2268" w:type="dxa"/>
            <w:vAlign w:val="center"/>
          </w:tcPr>
          <w:p w14:paraId="78752E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2、4、5</w:t>
            </w:r>
          </w:p>
        </w:tc>
        <w:tc>
          <w:tcPr>
            <w:tcW w:w="3289" w:type="dxa"/>
            <w:vAlign w:val="center"/>
          </w:tcPr>
          <w:p w14:paraId="69909F8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订单、任务、操作、质量和附件</w:t>
            </w:r>
          </w:p>
        </w:tc>
        <w:tc>
          <w:tcPr>
            <w:tcW w:w="2268" w:type="dxa"/>
            <w:vAlign w:val="center"/>
          </w:tcPr>
          <w:p w14:paraId="0DE891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全流程主键追踪</w:t>
            </w:r>
          </w:p>
        </w:tc>
      </w:tr>
      <w:tr w14:paraId="37D5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559437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工艺可复用</w:t>
            </w:r>
          </w:p>
        </w:tc>
        <w:tc>
          <w:tcPr>
            <w:tcW w:w="2268" w:type="dxa"/>
            <w:vAlign w:val="center"/>
          </w:tcPr>
          <w:p w14:paraId="667BC3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2、4、5</w:t>
            </w:r>
          </w:p>
        </w:tc>
        <w:tc>
          <w:tcPr>
            <w:tcW w:w="3289" w:type="dxa"/>
            <w:vAlign w:val="center"/>
          </w:tcPr>
          <w:p w14:paraId="0BF512F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标准工艺、生产工艺、启用版本</w:t>
            </w:r>
          </w:p>
        </w:tc>
        <w:tc>
          <w:tcPr>
            <w:tcW w:w="2268" w:type="dxa"/>
            <w:vAlign w:val="center"/>
          </w:tcPr>
          <w:p w14:paraId="1E79E2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工艺生成和版本测试</w:t>
            </w:r>
          </w:p>
        </w:tc>
      </w:tr>
      <w:tr w14:paraId="043E8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2F3C7F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计划可执行</w:t>
            </w:r>
          </w:p>
        </w:tc>
        <w:tc>
          <w:tcPr>
            <w:tcW w:w="2268" w:type="dxa"/>
            <w:vAlign w:val="center"/>
          </w:tcPr>
          <w:p w14:paraId="6984503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4、5</w:t>
            </w:r>
          </w:p>
        </w:tc>
        <w:tc>
          <w:tcPr>
            <w:tcW w:w="3289" w:type="dxa"/>
            <w:vAlign w:val="center"/>
          </w:tcPr>
          <w:p w14:paraId="72BB3BA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工序任务、资源、计划时间</w:t>
            </w:r>
          </w:p>
        </w:tc>
        <w:tc>
          <w:tcPr>
            <w:tcW w:w="2268" w:type="dxa"/>
            <w:vAlign w:val="center"/>
          </w:tcPr>
          <w:p w14:paraId="09545B5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排产冲突和状态测试</w:t>
            </w:r>
          </w:p>
        </w:tc>
      </w:tr>
      <w:tr w14:paraId="64A4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5A317AD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生产可核算</w:t>
            </w:r>
          </w:p>
        </w:tc>
        <w:tc>
          <w:tcPr>
            <w:tcW w:w="2268" w:type="dxa"/>
            <w:vAlign w:val="center"/>
          </w:tcPr>
          <w:p w14:paraId="48B117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4、5</w:t>
            </w:r>
          </w:p>
        </w:tc>
        <w:tc>
          <w:tcPr>
            <w:tcW w:w="3289" w:type="dxa"/>
            <w:vAlign w:val="center"/>
          </w:tcPr>
          <w:p w14:paraId="10083F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操作记录、报工、工时校验</w:t>
            </w:r>
          </w:p>
        </w:tc>
        <w:tc>
          <w:tcPr>
            <w:tcW w:w="2268" w:type="dxa"/>
            <w:vAlign w:val="center"/>
          </w:tcPr>
          <w:p w14:paraId="08CC792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工时计算和修正记录</w:t>
            </w:r>
          </w:p>
        </w:tc>
      </w:tr>
      <w:tr w14:paraId="157FF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233C654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质量可闭环</w:t>
            </w:r>
          </w:p>
        </w:tc>
        <w:tc>
          <w:tcPr>
            <w:tcW w:w="2268" w:type="dxa"/>
            <w:vAlign w:val="center"/>
          </w:tcPr>
          <w:p w14:paraId="4DCA85D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4、5、6</w:t>
            </w:r>
          </w:p>
        </w:tc>
        <w:tc>
          <w:tcPr>
            <w:tcW w:w="3289" w:type="dxa"/>
            <w:vAlign w:val="center"/>
          </w:tcPr>
          <w:p w14:paraId="34AE95F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检验任务、结果、处置和交付</w:t>
            </w:r>
          </w:p>
        </w:tc>
        <w:tc>
          <w:tcPr>
            <w:tcW w:w="2268" w:type="dxa"/>
            <w:vAlign w:val="center"/>
          </w:tcPr>
          <w:p w14:paraId="5557FB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不合格处置链路</w:t>
            </w:r>
          </w:p>
        </w:tc>
      </w:tr>
      <w:tr w14:paraId="1F704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8" w:type="dxa"/>
            <w:vAlign w:val="center"/>
          </w:tcPr>
          <w:p w14:paraId="3703C19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系统可运营</w:t>
            </w:r>
          </w:p>
        </w:tc>
        <w:tc>
          <w:tcPr>
            <w:tcW w:w="2268" w:type="dxa"/>
            <w:vAlign w:val="center"/>
          </w:tcPr>
          <w:p w14:paraId="0004E3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7、8、9、10</w:t>
            </w:r>
          </w:p>
        </w:tc>
        <w:tc>
          <w:tcPr>
            <w:tcW w:w="3289" w:type="dxa"/>
            <w:vAlign w:val="center"/>
          </w:tcPr>
          <w:p w14:paraId="7FF776F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权限、日志、监控、备份和回退</w:t>
            </w:r>
          </w:p>
        </w:tc>
        <w:tc>
          <w:tcPr>
            <w:tcW w:w="2268" w:type="dxa"/>
            <w:vAlign w:val="center"/>
          </w:tcPr>
          <w:p w14:paraId="2C1F04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演练、审计和验收清单</w:t>
            </w:r>
          </w:p>
        </w:tc>
      </w:tr>
    </w:tbl>
    <w:p w14:paraId="0A8F1024">
      <w:pPr>
        <w:bidi w:val="0"/>
        <w:rPr>
          <w:rFonts w:hint="default"/>
          <w:lang w:eastAsia="zh-CN"/>
        </w:rPr>
      </w:pPr>
    </w:p>
    <w:p w14:paraId="28B7173C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附录B 设计输入与输出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3969"/>
        <w:gridCol w:w="3119"/>
      </w:tblGrid>
      <w:tr w14:paraId="29FD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1984" w:type="dxa"/>
            <w:vAlign w:val="center"/>
          </w:tcPr>
          <w:p w14:paraId="48F63402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类别</w:t>
            </w:r>
          </w:p>
        </w:tc>
        <w:tc>
          <w:tcPr>
            <w:tcW w:w="3969" w:type="dxa"/>
            <w:vAlign w:val="center"/>
          </w:tcPr>
          <w:p w14:paraId="7E5E0C72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输入</w:t>
            </w:r>
          </w:p>
        </w:tc>
        <w:tc>
          <w:tcPr>
            <w:tcW w:w="3119" w:type="dxa"/>
            <w:vAlign w:val="center"/>
          </w:tcPr>
          <w:p w14:paraId="5628EAC8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输出</w:t>
            </w:r>
          </w:p>
        </w:tc>
      </w:tr>
      <w:tr w14:paraId="29A0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6E017BD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业务输入</w:t>
            </w:r>
          </w:p>
        </w:tc>
        <w:tc>
          <w:tcPr>
            <w:tcW w:w="3969" w:type="dxa"/>
            <w:vAlign w:val="center"/>
          </w:tcPr>
          <w:p w14:paraId="39FFC96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订单、工艺、资源、质量和交付规则</w:t>
            </w:r>
          </w:p>
        </w:tc>
        <w:tc>
          <w:tcPr>
            <w:tcW w:w="3119" w:type="dxa"/>
            <w:vAlign w:val="center"/>
          </w:tcPr>
          <w:p w14:paraId="0B725B4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业务域模型、状态机和流程</w:t>
            </w:r>
          </w:p>
        </w:tc>
      </w:tr>
      <w:tr w14:paraId="524E2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607CA7C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技术输入</w:t>
            </w:r>
          </w:p>
        </w:tc>
        <w:tc>
          <w:tcPr>
            <w:tcW w:w="3969" w:type="dxa"/>
            <w:vAlign w:val="center"/>
          </w:tcPr>
          <w:p w14:paraId="5D09CC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前端源码、服务接口、数据库对象、运行配置</w:t>
            </w:r>
          </w:p>
        </w:tc>
        <w:tc>
          <w:tcPr>
            <w:tcW w:w="3119" w:type="dxa"/>
            <w:vAlign w:val="center"/>
          </w:tcPr>
          <w:p w14:paraId="3A8F207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分层架构、接口边界和部署拓扑</w:t>
            </w:r>
          </w:p>
        </w:tc>
      </w:tr>
      <w:tr w14:paraId="64FAA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10A5F39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运营输入</w:t>
            </w:r>
          </w:p>
        </w:tc>
        <w:tc>
          <w:tcPr>
            <w:tcW w:w="3969" w:type="dxa"/>
            <w:vAlign w:val="center"/>
          </w:tcPr>
          <w:p w14:paraId="2B53FEB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权限矩阵、备份策略、监控和应急要求</w:t>
            </w:r>
          </w:p>
        </w:tc>
        <w:tc>
          <w:tcPr>
            <w:tcW w:w="3119" w:type="dxa"/>
            <w:vAlign w:val="center"/>
          </w:tcPr>
          <w:p w14:paraId="14C4D61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安全、恢复、运维和验收设计</w:t>
            </w:r>
          </w:p>
        </w:tc>
      </w:tr>
      <w:tr w14:paraId="76046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4" w:type="dxa"/>
            <w:vAlign w:val="center"/>
          </w:tcPr>
          <w:p w14:paraId="66F6D4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变更输入</w:t>
            </w:r>
          </w:p>
        </w:tc>
        <w:tc>
          <w:tcPr>
            <w:tcW w:w="3969" w:type="dxa"/>
            <w:vAlign w:val="center"/>
          </w:tcPr>
          <w:p w14:paraId="5F99721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缺陷、需求、数据质量和容量趋势</w:t>
            </w:r>
          </w:p>
        </w:tc>
        <w:tc>
          <w:tcPr>
            <w:tcW w:w="3119" w:type="dxa"/>
            <w:vAlign w:val="center"/>
          </w:tcPr>
          <w:p w14:paraId="1E3AF9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ADR、风险项和演进路线</w:t>
            </w:r>
          </w:p>
        </w:tc>
      </w:tr>
    </w:tbl>
    <w:p w14:paraId="66BDF5B7">
      <w:pPr>
        <w:bidi w:val="0"/>
        <w:rPr>
          <w:rFonts w:hint="default"/>
          <w:lang w:eastAsia="zh-CN"/>
        </w:rPr>
      </w:pPr>
    </w:p>
    <w:p w14:paraId="28F07D07">
      <w:pPr>
        <w:bidi w:val="0"/>
        <w:rPr>
          <w:rFonts w:hint="default"/>
          <w:lang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247" w:right="1191" w:bottom="1134" w:left="130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C160A">
    <w:pPr>
      <w:pStyle w:val="5"/>
      <w:jc w:val="center"/>
      <w:rPr>
        <w:rFonts w:hint="eastAsia" w:eastAsia="宋体"/>
        <w:sz w:val="16"/>
        <w:lang w:eastAsia="zh-CN"/>
      </w:rPr>
    </w:pPr>
    <w:r>
      <w:rPr>
        <w:rFonts w:hint="eastAsia" w:eastAsia="宋体"/>
        <w:sz w:val="16"/>
        <w:lang w:eastAsia="zh-CN"/>
      </w:rPr>
      <w:t>内部设计基线  |  YL-MES-DESIGN-001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26998">
    <w:pPr>
      <w:pStyle w:val="6"/>
      <w:jc w:val="right"/>
      <w:rPr>
        <w:rFonts w:hint="eastAsia" w:eastAsia="微软雅黑"/>
        <w:sz w:val="16"/>
        <w:lang w:eastAsia="zh-CN"/>
      </w:rPr>
    </w:pPr>
    <w:r>
      <w:rPr>
        <w:rFonts w:hint="eastAsia" w:eastAsia="微软雅黑"/>
        <w:sz w:val="16"/>
        <w:lang w:eastAsia="zh-CN"/>
      </w:rPr>
      <w:t>大连元利流体技术有限公司 MES 系统标准设计文档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A677F"/>
    <w:rsid w:val="78FA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20" w:line="360" w:lineRule="auto"/>
      <w:jc w:val="both"/>
    </w:pPr>
    <w:rPr>
      <w:rFonts w:ascii="Arial" w:hAnsi="Arial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 w:beforeLines="0" w:beforeAutospacing="0" w:after="120" w:afterLines="0" w:afterAutospacing="0" w:line="576" w:lineRule="auto"/>
      <w:outlineLvl w:val="0"/>
    </w:pPr>
    <w:rPr>
      <w:rFonts w:eastAsia="微软雅黑"/>
      <w:b/>
      <w:color w:val="314A8F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00" w:beforeLines="0" w:beforeAutospacing="0" w:after="120" w:afterLines="0" w:afterAutospacing="0" w:line="413" w:lineRule="auto"/>
      <w:outlineLvl w:val="1"/>
    </w:pPr>
    <w:rPr>
      <w:rFonts w:ascii="Arial" w:hAnsi="Arial" w:eastAsia="微软雅黑"/>
      <w:b/>
      <w:color w:val="314A8F"/>
      <w:sz w:val="2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00" w:beforeLines="0" w:beforeAutospacing="0" w:after="120" w:afterLines="0" w:afterAutospacing="0" w:line="413" w:lineRule="auto"/>
      <w:outlineLvl w:val="2"/>
    </w:pPr>
    <w:rPr>
      <w:rFonts w:eastAsia="微软雅黑"/>
      <w:b/>
      <w:color w:val="4F596B"/>
      <w:sz w:val="2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5701</Words>
  <Characters>6029</Characters>
  <Lines>0</Lines>
  <Paragraphs>0</Paragraphs>
  <TotalTime>0</TotalTime>
  <ScaleCrop>false</ScaleCrop>
  <LinksUpToDate>false</LinksUpToDate>
  <CharactersWithSpaces>6105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2026-07-24T09:53:00Z</dcterms:created>
  <dc:creator>张新阳</dc:creator>
  <cp:lastModifiedBy>张新阳</cp:lastModifiedBy>
  <dcterms:modified xsi:type="dcterms:W3CDTF">2026-07-24T09:54:00Z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4E1147A6A3194A6C9CFBA5E1C02912F2_11</vt:lpwstr>
  </property>
</Properties>
</file>