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C1BAE">
      <w:pPr>
        <w:bidi w:val="0"/>
        <w:spacing w:before="1300" w:after="240"/>
        <w:ind w:firstLine="0"/>
        <w:jc w:val="center"/>
        <w:rPr>
          <w:rFonts w:hint="eastAsia" w:cs="Arial"/>
          <w:b/>
          <w:color w:val="314A8F"/>
          <w:sz w:val="36"/>
          <w:lang w:eastAsia="zh-CN"/>
        </w:rPr>
      </w:pPr>
      <w:r>
        <w:rPr>
          <w:rFonts w:hint="eastAsia" w:cs="Arial"/>
          <w:b/>
          <w:color w:val="314A8F"/>
          <w:sz w:val="36"/>
          <w:lang w:eastAsia="zh-CN"/>
        </w:rPr>
        <w:t>大连元利流体技术有限公司</w:t>
      </w:r>
    </w:p>
    <w:p w14:paraId="52FE8B97">
      <w:pPr>
        <w:bidi w:val="0"/>
        <w:spacing w:before="1400" w:after="320"/>
        <w:ind w:firstLine="0"/>
        <w:jc w:val="center"/>
        <w:rPr>
          <w:rFonts w:hint="eastAsia" w:cs="Arial"/>
          <w:b/>
          <w:color w:val="2A3551"/>
          <w:sz w:val="56"/>
          <w:lang w:eastAsia="zh-CN"/>
        </w:rPr>
      </w:pPr>
      <w:r>
        <w:rPr>
          <w:rFonts w:hint="eastAsia" w:cs="Arial"/>
          <w:b/>
          <w:color w:val="2A3551"/>
          <w:sz w:val="56"/>
          <w:lang w:eastAsia="zh-CN"/>
        </w:rPr>
        <w:t>MES 系统标准技术文档</w:t>
      </w:r>
    </w:p>
    <w:p w14:paraId="20241E4A">
      <w:pPr>
        <w:bidi w:val="0"/>
        <w:spacing w:after="1400"/>
        <w:ind w:firstLine="0"/>
        <w:jc w:val="center"/>
        <w:rPr>
          <w:rFonts w:hint="eastAsia" w:cs="Arial"/>
          <w:b w:val="0"/>
          <w:color w:val="4F596B"/>
          <w:sz w:val="30"/>
          <w:lang w:eastAsia="zh-CN"/>
        </w:rPr>
      </w:pPr>
      <w:r>
        <w:rPr>
          <w:rFonts w:hint="eastAsia" w:cs="Arial"/>
          <w:b w:val="0"/>
          <w:color w:val="4F596B"/>
          <w:sz w:val="30"/>
          <w:lang w:eastAsia="zh-CN"/>
        </w:rPr>
        <w:t>System Technical Specification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81"/>
        <w:gridCol w:w="5103"/>
      </w:tblGrid>
      <w:tr w14:paraId="17DD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381" w:type="dxa"/>
            <w:vAlign w:val="center"/>
          </w:tcPr>
          <w:p w14:paraId="04A6A7E6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4F596B"/>
                <w:sz w:val="20"/>
                <w:vertAlign w:val="baseline"/>
                <w:lang w:eastAsia="zh-CN"/>
              </w:rPr>
              <w:t>文档编号</w:t>
            </w:r>
          </w:p>
        </w:tc>
        <w:tc>
          <w:tcPr>
            <w:tcW w:w="5103" w:type="dxa"/>
            <w:vAlign w:val="center"/>
          </w:tcPr>
          <w:p w14:paraId="358DD05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4F596B"/>
                <w:sz w:val="20"/>
                <w:vertAlign w:val="baseline"/>
                <w:lang w:eastAsia="zh-CN"/>
              </w:rPr>
              <w:t>YL-MES-TECH-001</w:t>
            </w:r>
          </w:p>
        </w:tc>
      </w:tr>
      <w:tr w14:paraId="4025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35BA75F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系统版本</w:t>
            </w:r>
          </w:p>
        </w:tc>
        <w:tc>
          <w:tcPr>
            <w:tcW w:w="5103" w:type="dxa"/>
            <w:vAlign w:val="center"/>
          </w:tcPr>
          <w:p w14:paraId="27D0E96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V1.1.0</w:t>
            </w:r>
          </w:p>
        </w:tc>
      </w:tr>
      <w:tr w14:paraId="1789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60CA48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文档版本</w:t>
            </w:r>
          </w:p>
        </w:tc>
        <w:tc>
          <w:tcPr>
            <w:tcW w:w="5103" w:type="dxa"/>
            <w:vAlign w:val="center"/>
          </w:tcPr>
          <w:p w14:paraId="12CD5F4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V1.1</w:t>
            </w:r>
          </w:p>
        </w:tc>
      </w:tr>
      <w:tr w14:paraId="1614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72FA3D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基线日期</w:t>
            </w:r>
          </w:p>
        </w:tc>
        <w:tc>
          <w:tcPr>
            <w:tcW w:w="5103" w:type="dxa"/>
            <w:vAlign w:val="center"/>
          </w:tcPr>
          <w:p w14:paraId="2441407D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2026-07-24</w:t>
            </w:r>
          </w:p>
        </w:tc>
      </w:tr>
      <w:tr w14:paraId="6765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4AA6E6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文档属性</w:t>
            </w:r>
          </w:p>
        </w:tc>
        <w:tc>
          <w:tcPr>
            <w:tcW w:w="5103" w:type="dxa"/>
            <w:vAlign w:val="center"/>
          </w:tcPr>
          <w:p w14:paraId="00B2E3F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内部技术资料</w:t>
            </w:r>
          </w:p>
        </w:tc>
      </w:tr>
      <w:tr w14:paraId="35F1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4E1EEC6C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适用范围</w:t>
            </w:r>
          </w:p>
        </w:tc>
        <w:tc>
          <w:tcPr>
            <w:tcW w:w="5103" w:type="dxa"/>
            <w:vAlign w:val="center"/>
          </w:tcPr>
          <w:p w14:paraId="0E4FCFAE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 w:val="0"/>
                <w:color w:val="4F596B"/>
                <w:sz w:val="20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4F596B"/>
                <w:sz w:val="20"/>
                <w:vertAlign w:val="baseline"/>
                <w:lang w:eastAsia="zh-CN"/>
              </w:rPr>
              <w:t>MES 实施、开发、测试、运维及审计</w:t>
            </w:r>
          </w:p>
        </w:tc>
      </w:tr>
    </w:tbl>
    <w:p w14:paraId="7CED820D">
      <w:pPr>
        <w:bidi w:val="0"/>
        <w:spacing w:after="1400"/>
        <w:ind w:firstLine="0"/>
        <w:jc w:val="center"/>
        <w:rPr>
          <w:rFonts w:hint="default" w:cs="Arial"/>
          <w:b w:val="0"/>
          <w:color w:val="4F596B"/>
          <w:sz w:val="30"/>
          <w:lang w:eastAsia="zh-CN"/>
        </w:rPr>
      </w:pPr>
    </w:p>
    <w:p w14:paraId="36096690">
      <w:pPr>
        <w:bidi w:val="0"/>
        <w:spacing w:before="1100" w:after="0"/>
        <w:ind w:firstLine="0"/>
        <w:jc w:val="center"/>
        <w:rPr>
          <w:rFonts w:hint="eastAsia" w:cs="Arial"/>
          <w:b w:val="0"/>
          <w:color w:val="666666"/>
          <w:sz w:val="19"/>
          <w:lang w:eastAsia="zh-CN"/>
        </w:rPr>
      </w:pPr>
      <w:r>
        <w:rPr>
          <w:rFonts w:hint="eastAsia" w:cs="Arial"/>
          <w:b w:val="0"/>
          <w:color w:val="666666"/>
          <w:sz w:val="19"/>
          <w:lang w:eastAsia="zh-CN"/>
        </w:rPr>
        <w:t>编制依据：当前前端源代码、正式菜单配置、正式数据库只读元数据及现有业务技术资料</w:t>
      </w:r>
    </w:p>
    <w:p w14:paraId="0AFD6CF5">
      <w:pPr>
        <w:rPr>
          <w:rFonts w:hint="default" w:cs="Arial"/>
          <w:b w:val="0"/>
          <w:color w:val="666666"/>
          <w:sz w:val="19"/>
          <w:lang w:eastAsia="zh-CN"/>
        </w:rPr>
      </w:pPr>
      <w:r>
        <w:rPr>
          <w:rFonts w:hint="default" w:cs="Arial"/>
          <w:b w:val="0"/>
          <w:color w:val="666666"/>
          <w:sz w:val="19"/>
          <w:lang w:eastAsia="zh-CN"/>
        </w:rPr>
        <w:br w:type="page"/>
      </w:r>
    </w:p>
    <w:p w14:paraId="4C1856EC">
      <w:pPr>
        <w:pStyle w:val="2"/>
        <w:bidi w:val="0"/>
        <w:rPr>
          <w:rFonts w:hint="eastAsia"/>
          <w:lang w:eastAsia="zh-CN"/>
        </w:rPr>
      </w:pPr>
      <w:bookmarkStart w:id="0" w:name="_Toc6656"/>
      <w:r>
        <w:rPr>
          <w:rFonts w:hint="eastAsia"/>
          <w:lang w:eastAsia="zh-CN"/>
        </w:rPr>
        <w:t>文档控制</w:t>
      </w:r>
      <w:bookmarkEnd w:id="0"/>
    </w:p>
    <w:p w14:paraId="5707372B">
      <w:pPr>
        <w:pStyle w:val="3"/>
        <w:bidi w:val="0"/>
        <w:rPr>
          <w:rFonts w:hint="eastAsia"/>
          <w:lang w:eastAsia="zh-CN"/>
        </w:rPr>
      </w:pPr>
      <w:bookmarkStart w:id="1" w:name="_Toc32016"/>
      <w:r>
        <w:rPr>
          <w:rFonts w:hint="eastAsia"/>
          <w:lang w:eastAsia="zh-CN"/>
        </w:rPr>
        <w:t>修订记录</w:t>
      </w:r>
      <w:bookmarkEnd w:id="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1588"/>
        <w:gridCol w:w="5670"/>
        <w:gridCol w:w="1247"/>
      </w:tblGrid>
      <w:tr w14:paraId="5150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2C0999D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版本</w:t>
            </w:r>
          </w:p>
        </w:tc>
        <w:tc>
          <w:tcPr>
            <w:tcW w:w="1588" w:type="dxa"/>
            <w:vAlign w:val="center"/>
          </w:tcPr>
          <w:p w14:paraId="7778533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日期</w:t>
            </w:r>
          </w:p>
        </w:tc>
        <w:tc>
          <w:tcPr>
            <w:tcW w:w="5670" w:type="dxa"/>
            <w:vAlign w:val="center"/>
          </w:tcPr>
          <w:p w14:paraId="254A579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修订内容</w:t>
            </w:r>
          </w:p>
        </w:tc>
        <w:tc>
          <w:tcPr>
            <w:tcW w:w="1247" w:type="dxa"/>
            <w:vAlign w:val="center"/>
          </w:tcPr>
          <w:p w14:paraId="20F0A0ED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状态</w:t>
            </w:r>
          </w:p>
        </w:tc>
      </w:tr>
      <w:tr w14:paraId="7F07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26DB85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V1.0</w:t>
            </w:r>
          </w:p>
        </w:tc>
        <w:tc>
          <w:tcPr>
            <w:tcW w:w="1588" w:type="dxa"/>
            <w:vAlign w:val="center"/>
          </w:tcPr>
          <w:p w14:paraId="1C3D379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2026-07-24</w:t>
            </w:r>
          </w:p>
        </w:tc>
        <w:tc>
          <w:tcPr>
            <w:tcW w:w="5670" w:type="dxa"/>
            <w:vAlign w:val="center"/>
          </w:tcPr>
          <w:p w14:paraId="5C279E0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首次形成系统级标准技术文档，覆盖现状架构、部署、权限、数据、接口、运维与验收规范</w:t>
            </w:r>
          </w:p>
        </w:tc>
        <w:tc>
          <w:tcPr>
            <w:tcW w:w="1247" w:type="dxa"/>
            <w:vAlign w:val="center"/>
          </w:tcPr>
          <w:p w14:paraId="6401A4B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正式基线</w:t>
            </w:r>
          </w:p>
        </w:tc>
      </w:tr>
      <w:tr w14:paraId="13E6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A028B9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V1.1</w:t>
            </w:r>
          </w:p>
        </w:tc>
        <w:tc>
          <w:tcPr>
            <w:tcW w:w="1588" w:type="dxa"/>
            <w:vAlign w:val="center"/>
          </w:tcPr>
          <w:p w14:paraId="37EB4C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2026-07-24</w:t>
            </w:r>
          </w:p>
        </w:tc>
        <w:tc>
          <w:tcPr>
            <w:tcW w:w="5670" w:type="dxa"/>
            <w:vAlign w:val="center"/>
          </w:tcPr>
          <w:p w14:paraId="7B4D101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修订核心业务流程图，消除主流程与异常回流线重叠并明确箭头方向</w:t>
            </w:r>
          </w:p>
        </w:tc>
        <w:tc>
          <w:tcPr>
            <w:tcW w:w="1247" w:type="dxa"/>
            <w:vAlign w:val="center"/>
          </w:tcPr>
          <w:p w14:paraId="1573F7F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图形修订</w:t>
            </w:r>
          </w:p>
        </w:tc>
      </w:tr>
    </w:tbl>
    <w:p w14:paraId="12D49128">
      <w:pPr>
        <w:bidi w:val="0"/>
        <w:rPr>
          <w:rFonts w:hint="default"/>
          <w:lang w:eastAsia="zh-CN"/>
        </w:rPr>
      </w:pPr>
    </w:p>
    <w:p w14:paraId="24D88C41">
      <w:pPr>
        <w:pStyle w:val="3"/>
        <w:bidi w:val="0"/>
        <w:rPr>
          <w:rFonts w:hint="eastAsia"/>
          <w:lang w:eastAsia="zh-CN"/>
        </w:rPr>
      </w:pPr>
      <w:bookmarkStart w:id="2" w:name="_Toc26331"/>
      <w:r>
        <w:rPr>
          <w:rFonts w:hint="eastAsia"/>
          <w:lang w:eastAsia="zh-CN"/>
        </w:rPr>
        <w:t>审批与分发</w:t>
      </w:r>
      <w:bookmarkEnd w:id="2"/>
    </w:p>
    <w:tbl>
      <w:tblPr>
        <w:tblStyle w:val="10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5216"/>
        <w:gridCol w:w="2608"/>
      </w:tblGrid>
      <w:tr w14:paraId="1F11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814" w:type="dxa"/>
            <w:vAlign w:val="center"/>
          </w:tcPr>
          <w:p w14:paraId="2AF6E5C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角色</w:t>
            </w:r>
          </w:p>
        </w:tc>
        <w:tc>
          <w:tcPr>
            <w:tcW w:w="5216" w:type="dxa"/>
            <w:vAlign w:val="center"/>
          </w:tcPr>
          <w:p w14:paraId="347122E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职责</w:t>
            </w:r>
          </w:p>
        </w:tc>
        <w:tc>
          <w:tcPr>
            <w:tcW w:w="2608" w:type="dxa"/>
            <w:vAlign w:val="center"/>
          </w:tcPr>
          <w:p w14:paraId="18A506D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签署/日期</w:t>
            </w:r>
          </w:p>
        </w:tc>
      </w:tr>
      <w:tr w14:paraId="173C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15C6C48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业务负责人</w:t>
            </w:r>
          </w:p>
        </w:tc>
        <w:tc>
          <w:tcPr>
            <w:tcW w:w="5216" w:type="dxa"/>
            <w:vAlign w:val="center"/>
          </w:tcPr>
          <w:p w14:paraId="2FD0F49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确认业务边界和关键流程</w:t>
            </w:r>
          </w:p>
        </w:tc>
        <w:tc>
          <w:tcPr>
            <w:tcW w:w="2608" w:type="dxa"/>
            <w:vAlign w:val="center"/>
          </w:tcPr>
          <w:p w14:paraId="728E2B4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</w:p>
        </w:tc>
      </w:tr>
      <w:tr w14:paraId="46B5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553728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技术负责人</w:t>
            </w:r>
          </w:p>
        </w:tc>
        <w:tc>
          <w:tcPr>
            <w:tcW w:w="5216" w:type="dxa"/>
            <w:vAlign w:val="center"/>
          </w:tcPr>
          <w:p w14:paraId="05BC83A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确认架构、接口、数据与变更方案</w:t>
            </w:r>
          </w:p>
        </w:tc>
        <w:tc>
          <w:tcPr>
            <w:tcW w:w="2608" w:type="dxa"/>
            <w:vAlign w:val="center"/>
          </w:tcPr>
          <w:p w14:paraId="5332BD8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</w:p>
        </w:tc>
      </w:tr>
      <w:tr w14:paraId="45EE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21999DD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运维负责人</w:t>
            </w:r>
          </w:p>
        </w:tc>
        <w:tc>
          <w:tcPr>
            <w:tcW w:w="5216" w:type="dxa"/>
            <w:vAlign w:val="center"/>
          </w:tcPr>
          <w:p w14:paraId="0BE8B6D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确认部署、备份、监控和应急流程</w:t>
            </w:r>
          </w:p>
        </w:tc>
        <w:tc>
          <w:tcPr>
            <w:tcW w:w="2608" w:type="dxa"/>
            <w:vAlign w:val="center"/>
          </w:tcPr>
          <w:p w14:paraId="4AD426D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</w:p>
        </w:tc>
      </w:tr>
      <w:tr w14:paraId="7F63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49A40A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质量/测试负责人</w:t>
            </w:r>
          </w:p>
        </w:tc>
        <w:tc>
          <w:tcPr>
            <w:tcW w:w="5216" w:type="dxa"/>
            <w:vAlign w:val="center"/>
          </w:tcPr>
          <w:p w14:paraId="634F7BC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确认测试范围与验收证据</w:t>
            </w:r>
          </w:p>
        </w:tc>
        <w:tc>
          <w:tcPr>
            <w:tcW w:w="2608" w:type="dxa"/>
            <w:vAlign w:val="center"/>
          </w:tcPr>
          <w:p w14:paraId="2834CA4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</w:p>
        </w:tc>
      </w:tr>
    </w:tbl>
    <w:p w14:paraId="6ACAE4A5">
      <w:pPr>
        <w:bidi w:val="0"/>
        <w:rPr>
          <w:rFonts w:hint="default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570"/>
      </w:tblGrid>
      <w:tr w14:paraId="1754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70" w:type="dxa"/>
            <w:shd w:val="clear" w:color="auto" w:fill="FFF2D9"/>
          </w:tcPr>
          <w:p w14:paraId="6141510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保密要求：本文档包含正式环境拓扑、内部接口约定和数据库对象信息，仅限授权的实施、开发、测试、运维及审计人员使用。账号、口令、私钥和 SAP 会话信息不得写入正文或版本库。</w:t>
            </w:r>
          </w:p>
        </w:tc>
      </w:tr>
    </w:tbl>
    <w:p w14:paraId="7A1B81F8">
      <w:pPr>
        <w:bidi w:val="0"/>
        <w:rPr>
          <w:rFonts w:hint="default"/>
          <w:lang w:eastAsia="zh-CN"/>
        </w:rPr>
      </w:pPr>
    </w:p>
    <w:p w14:paraId="7F524A14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69A821D0">
      <w:pPr>
        <w:pStyle w:val="2"/>
        <w:bidi w:val="0"/>
        <w:rPr>
          <w:rFonts w:hint="eastAsia"/>
          <w:lang w:eastAsia="zh-CN"/>
        </w:rPr>
      </w:pPr>
      <w:bookmarkStart w:id="3" w:name="_Toc6645"/>
      <w:r>
        <w:rPr>
          <w:rFonts w:hint="eastAsia"/>
          <w:lang w:eastAsia="zh-CN"/>
        </w:rPr>
        <w:t>目录</w:t>
      </w:r>
      <w:bookmarkEnd w:id="3"/>
    </w:p>
    <w:p w14:paraId="78782B84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TOC \o "1-3" \h \z</w:instrText>
      </w:r>
      <w:r>
        <w:rPr>
          <w:rFonts w:hint="default"/>
          <w:lang w:eastAsia="zh-CN"/>
        </w:rPr>
        <w:fldChar w:fldCharType="separate"/>
      </w: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_Toc6656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文档控制</w:t>
      </w:r>
      <w:r>
        <w:tab/>
      </w:r>
      <w:r>
        <w:fldChar w:fldCharType="begin"/>
      </w:r>
      <w:r>
        <w:instrText xml:space="preserve"> PAGEREF _Toc6656 \h </w:instrText>
      </w:r>
      <w:r>
        <w:fldChar w:fldCharType="separate"/>
      </w:r>
      <w:r>
        <w:t>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34B4C35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_Toc32016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修订记录</w:t>
      </w:r>
      <w:r>
        <w:tab/>
      </w:r>
      <w:r>
        <w:fldChar w:fldCharType="begin"/>
      </w:r>
      <w:r>
        <w:instrText xml:space="preserve"> PAGEREF _Toc32016 \h </w:instrText>
      </w:r>
      <w:r>
        <w:fldChar w:fldCharType="separate"/>
      </w:r>
      <w:r>
        <w:t>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56040B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_Toc26331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审批与分发</w:t>
      </w:r>
      <w:r>
        <w:tab/>
      </w:r>
      <w:r>
        <w:fldChar w:fldCharType="begin"/>
      </w:r>
      <w:r>
        <w:instrText xml:space="preserve"> PAGEREF _Toc26331 \h </w:instrText>
      </w:r>
      <w:r>
        <w:fldChar w:fldCharType="separate"/>
      </w:r>
      <w:r>
        <w:t>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569634C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_Toc6645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目录</w:t>
      </w:r>
      <w:r>
        <w:tab/>
      </w:r>
      <w:r>
        <w:fldChar w:fldCharType="begin"/>
      </w:r>
      <w:r>
        <w:instrText xml:space="preserve"> PAGEREF _Toc6645 \h </w:instrText>
      </w:r>
      <w:r>
        <w:fldChar w:fldCharType="separate"/>
      </w:r>
      <w:r>
        <w:t>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D6B2B99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_Toc29408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 文档说明</w:t>
      </w:r>
      <w:r>
        <w:tab/>
      </w:r>
      <w:r>
        <w:fldChar w:fldCharType="begin"/>
      </w:r>
      <w:r>
        <w:instrText xml:space="preserve"> PAGEREF _Toc29408 \h </w:instrText>
      </w:r>
      <w:r>
        <w:fldChar w:fldCharType="separate"/>
      </w:r>
      <w:r>
        <w:t>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37719E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_Toc1638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1.1 目的</w:t>
      </w:r>
      <w:r>
        <w:tab/>
      </w:r>
      <w:r>
        <w:fldChar w:fldCharType="begin"/>
      </w:r>
      <w:r>
        <w:instrText xml:space="preserve"> PAGEREF _Toc1638 \h </w:instrText>
      </w:r>
      <w:r>
        <w:fldChar w:fldCharType="separate"/>
      </w:r>
      <w:r>
        <w:t>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E16DB44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_Toc21041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1.2 适用对象</w:t>
      </w:r>
      <w:r>
        <w:tab/>
      </w:r>
      <w:r>
        <w:fldChar w:fldCharType="begin"/>
      </w:r>
      <w:r>
        <w:instrText xml:space="preserve"> PAGEREF _Toc21041 \h </w:instrText>
      </w:r>
      <w:r>
        <w:fldChar w:fldCharType="separate"/>
      </w:r>
      <w:r>
        <w:t>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C6A2EB0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_Toc30763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1.3 事实与规范的区分</w:t>
      </w:r>
      <w:r>
        <w:tab/>
      </w:r>
      <w:r>
        <w:fldChar w:fldCharType="begin"/>
      </w:r>
      <w:r>
        <w:instrText xml:space="preserve"> PAGEREF _Toc30763 \h </w:instrText>
      </w:r>
      <w:r>
        <w:fldChar w:fldCharType="separate"/>
      </w:r>
      <w:r>
        <w:t>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F06ACE0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_Toc21724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1.4 基线与范围</w:t>
      </w:r>
      <w:r>
        <w:tab/>
      </w:r>
      <w:r>
        <w:fldChar w:fldCharType="begin"/>
      </w:r>
      <w:r>
        <w:instrText xml:space="preserve"> PAGEREF _Toc21724 \h </w:instrText>
      </w:r>
      <w:r>
        <w:fldChar w:fldCharType="separate"/>
      </w:r>
      <w:r>
        <w:t>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5395D0A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_Toc21213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 系统概述</w:t>
      </w:r>
      <w:r>
        <w:tab/>
      </w:r>
      <w:r>
        <w:fldChar w:fldCharType="begin"/>
      </w:r>
      <w:r>
        <w:instrText xml:space="preserve"> PAGEREF _Toc21213 \h </w:instrText>
      </w:r>
      <w:r>
        <w:fldChar w:fldCharType="separate"/>
      </w:r>
      <w:r>
        <w:t>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6AF4C93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_Toc23763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2.1 建设目标</w:t>
      </w:r>
      <w:r>
        <w:tab/>
      </w:r>
      <w:r>
        <w:fldChar w:fldCharType="begin"/>
      </w:r>
      <w:r>
        <w:instrText xml:space="preserve"> PAGEREF _Toc23763 \h </w:instrText>
      </w:r>
      <w:r>
        <w:fldChar w:fldCharType="separate"/>
      </w:r>
      <w:r>
        <w:t>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37D1FC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_Toc12918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2.2 系统边界</w:t>
      </w:r>
      <w:r>
        <w:tab/>
      </w:r>
      <w:r>
        <w:fldChar w:fldCharType="begin"/>
      </w:r>
      <w:r>
        <w:instrText xml:space="preserve"> PAGEREF _Toc12918 \h </w:instrText>
      </w:r>
      <w:r>
        <w:fldChar w:fldCharType="separate"/>
      </w:r>
      <w:r>
        <w:t>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38E698B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_Toc6318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2.3 功能模块</w:t>
      </w:r>
      <w:r>
        <w:tab/>
      </w:r>
      <w:r>
        <w:fldChar w:fldCharType="begin"/>
      </w:r>
      <w:r>
        <w:instrText xml:space="preserve"> PAGEREF _Toc6318 \h </w:instrText>
      </w:r>
      <w:r>
        <w:fldChar w:fldCharType="separate"/>
      </w:r>
      <w:r>
        <w:t>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E55DB7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_Toc11150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2.4 核心业务主线</w:t>
      </w:r>
      <w:r>
        <w:tab/>
      </w:r>
      <w:r>
        <w:fldChar w:fldCharType="begin"/>
      </w:r>
      <w:r>
        <w:instrText xml:space="preserve"> PAGEREF _Toc11150 \h </w:instrText>
      </w:r>
      <w:r>
        <w:fldChar w:fldCharType="separate"/>
      </w:r>
      <w:r>
        <w:t>10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99B7170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_Toc29058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3 总体技术架构</w:t>
      </w:r>
      <w:r>
        <w:tab/>
      </w:r>
      <w:r>
        <w:fldChar w:fldCharType="begin"/>
      </w:r>
      <w:r>
        <w:instrText xml:space="preserve"> PAGEREF _Toc29058 \h </w:instrText>
      </w:r>
      <w:r>
        <w:fldChar w:fldCharType="separate"/>
      </w:r>
      <w:r>
        <w:t>10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EF492B7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_Toc30305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3.1 逻辑架构</w:t>
      </w:r>
      <w:r>
        <w:tab/>
      </w:r>
      <w:r>
        <w:fldChar w:fldCharType="begin"/>
      </w:r>
      <w:r>
        <w:instrText xml:space="preserve"> PAGEREF _Toc30305 \h </w:instrText>
      </w:r>
      <w:r>
        <w:fldChar w:fldCharType="separate"/>
      </w:r>
      <w:r>
        <w:t>10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FA650F5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_Toc11332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3.2 分层职责</w:t>
      </w:r>
      <w:r>
        <w:tab/>
      </w:r>
      <w:r>
        <w:fldChar w:fldCharType="begin"/>
      </w:r>
      <w:r>
        <w:instrText xml:space="preserve"> PAGEREF _Toc11332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BDB6F26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_Toc8969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3.3 架构约束</w:t>
      </w:r>
      <w:r>
        <w:tab/>
      </w:r>
      <w:r>
        <w:fldChar w:fldCharType="begin"/>
      </w:r>
      <w:r>
        <w:instrText xml:space="preserve"> PAGEREF _Toc8969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ECBA3F8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_Toc927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4 技术栈与代码结构</w:t>
      </w:r>
      <w:r>
        <w:tab/>
      </w:r>
      <w:r>
        <w:fldChar w:fldCharType="begin"/>
      </w:r>
      <w:r>
        <w:instrText xml:space="preserve"> PAGEREF _Toc927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481A275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_Toc10393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4.1 技术栈基线</w:t>
      </w:r>
      <w:r>
        <w:tab/>
      </w:r>
      <w:r>
        <w:fldChar w:fldCharType="begin"/>
      </w:r>
      <w:r>
        <w:instrText xml:space="preserve"> PAGEREF _Toc10393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3DF9C8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_Toc25896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4.2 源码目录</w:t>
      </w:r>
      <w:r>
        <w:tab/>
      </w:r>
      <w:r>
        <w:fldChar w:fldCharType="begin"/>
      </w:r>
      <w:r>
        <w:instrText xml:space="preserve"> PAGEREF _Toc25896 \h </w:instrText>
      </w:r>
      <w:r>
        <w:fldChar w:fldCharType="separate"/>
      </w:r>
      <w:r>
        <w:t>12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3CC2FA5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_Toc28151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4.3 模块代码规模</w:t>
      </w:r>
      <w:r>
        <w:tab/>
      </w:r>
      <w:r>
        <w:fldChar w:fldCharType="begin"/>
      </w:r>
      <w:r>
        <w:instrText xml:space="preserve"> PAGEREF _Toc28151 \h </w:instrText>
      </w:r>
      <w:r>
        <w:fldChar w:fldCharType="separate"/>
      </w:r>
      <w:r>
        <w:t>12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95FA28B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_Toc5442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4.4 编码与提交规范</w:t>
      </w:r>
      <w:r>
        <w:tab/>
      </w:r>
      <w:r>
        <w:fldChar w:fldCharType="begin"/>
      </w:r>
      <w:r>
        <w:instrText xml:space="preserve"> PAGEREF _Toc5442 \h </w:instrText>
      </w:r>
      <w:r>
        <w:fldChar w:fldCharType="separate"/>
      </w:r>
      <w:r>
        <w:t>12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1FF9C36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_Toc8876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5 部署架构与环境配置</w:t>
      </w:r>
      <w:r>
        <w:tab/>
      </w:r>
      <w:r>
        <w:fldChar w:fldCharType="begin"/>
      </w:r>
      <w:r>
        <w:instrText xml:space="preserve"> PAGEREF _Toc8876 \h </w:instrText>
      </w:r>
      <w:r>
        <w:fldChar w:fldCharType="separate"/>
      </w:r>
      <w:r>
        <w:t>13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C8FC9F8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_Toc22336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5.1 正式环境拓扑</w:t>
      </w:r>
      <w:r>
        <w:tab/>
      </w:r>
      <w:r>
        <w:fldChar w:fldCharType="begin"/>
      </w:r>
      <w:r>
        <w:instrText xml:space="preserve"> PAGEREF _Toc22336 \h </w:instrText>
      </w:r>
      <w:r>
        <w:fldChar w:fldCharType="separate"/>
      </w:r>
      <w:r>
        <w:t>13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7D8664B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_Toc12030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5.2 当前运行时端点</w:t>
      </w:r>
      <w:r>
        <w:tab/>
      </w:r>
      <w:r>
        <w:fldChar w:fldCharType="begin"/>
      </w:r>
      <w:r>
        <w:instrText xml:space="preserve"> PAGEREF _Toc12030 \h </w:instrText>
      </w:r>
      <w:r>
        <w:fldChar w:fldCharType="separate"/>
      </w:r>
      <w:r>
        <w:t>13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DDFD3C2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_Toc25479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5.3 前端构建与发布</w:t>
      </w:r>
      <w:r>
        <w:tab/>
      </w:r>
      <w:r>
        <w:fldChar w:fldCharType="begin"/>
      </w:r>
      <w:r>
        <w:instrText xml:space="preserve"> PAGEREF _Toc25479 \h </w:instrText>
      </w:r>
      <w:r>
        <w:fldChar w:fldCharType="separate"/>
      </w:r>
      <w:r>
        <w:t>14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ABFB750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_Toc32273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5.4 发布目录要求</w:t>
      </w:r>
      <w:r>
        <w:tab/>
      </w:r>
      <w:r>
        <w:fldChar w:fldCharType="begin"/>
      </w:r>
      <w:r>
        <w:instrText xml:space="preserve"> PAGEREF _Toc32273 \h </w:instrText>
      </w:r>
      <w:r>
        <w:fldChar w:fldCharType="separate"/>
      </w:r>
      <w:r>
        <w:t>14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AC9DCB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_Toc951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5.5 回退条件</w:t>
      </w:r>
      <w:r>
        <w:tab/>
      </w:r>
      <w:r>
        <w:fldChar w:fldCharType="begin"/>
      </w:r>
      <w:r>
        <w:instrText xml:space="preserve"> PAGEREF _Toc951 \h </w:instrText>
      </w:r>
      <w:r>
        <w:fldChar w:fldCharType="separate"/>
      </w:r>
      <w:r>
        <w:t>14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F98E0C5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_Toc14821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6 配置管理</w:t>
      </w:r>
      <w:r>
        <w:tab/>
      </w:r>
      <w:r>
        <w:fldChar w:fldCharType="begin"/>
      </w:r>
      <w:r>
        <w:instrText xml:space="preserve"> PAGEREF _Toc14821 \h </w:instrText>
      </w:r>
      <w:r>
        <w:fldChar w:fldCharType="separate"/>
      </w:r>
      <w:r>
        <w:t>14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F41B95A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_Toc11560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6.1 配置分类</w:t>
      </w:r>
      <w:r>
        <w:tab/>
      </w:r>
      <w:r>
        <w:fldChar w:fldCharType="begin"/>
      </w:r>
      <w:r>
        <w:instrText xml:space="preserve"> PAGEREF _Toc11560 \h </w:instrText>
      </w:r>
      <w:r>
        <w:fldChar w:fldCharType="separate"/>
      </w:r>
      <w:r>
        <w:t>14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B0598B2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_Toc4201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6.2 配置变更控制</w:t>
      </w:r>
      <w:r>
        <w:tab/>
      </w:r>
      <w:r>
        <w:fldChar w:fldCharType="begin"/>
      </w:r>
      <w:r>
        <w:instrText xml:space="preserve"> PAGEREF _Toc4201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5458382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_Toc29755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7 身份、权限与安全</w:t>
      </w:r>
      <w:r>
        <w:tab/>
      </w:r>
      <w:r>
        <w:fldChar w:fldCharType="begin"/>
      </w:r>
      <w:r>
        <w:instrText xml:space="preserve"> PAGEREF _Toc29755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26C38CE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_Toc4601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7.1 权限流程</w:t>
      </w:r>
      <w:r>
        <w:tab/>
      </w:r>
      <w:r>
        <w:fldChar w:fldCharType="begin"/>
      </w:r>
      <w:r>
        <w:instrText xml:space="preserve"> PAGEREF _Toc4601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0FDC5F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_Toc18257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7.2 当前实现</w:t>
      </w:r>
      <w:r>
        <w:tab/>
      </w:r>
      <w:r>
        <w:fldChar w:fldCharType="begin"/>
      </w:r>
      <w:r>
        <w:instrText xml:space="preserve"> PAGEREF _Toc18257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FE07E6C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_Toc32004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7.3 标准安全要求</w:t>
      </w:r>
      <w:r>
        <w:tab/>
      </w:r>
      <w:r>
        <w:fldChar w:fldCharType="begin"/>
      </w:r>
      <w:r>
        <w:instrText xml:space="preserve"> PAGEREF _Toc32004 \h </w:instrText>
      </w:r>
      <w:r>
        <w:fldChar w:fldCharType="separate"/>
      </w:r>
      <w:r>
        <w:t>16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5C361E8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_Toc5737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7.4 当前风险与改进优先级</w:t>
      </w:r>
      <w:r>
        <w:tab/>
      </w:r>
      <w:r>
        <w:fldChar w:fldCharType="begin"/>
      </w:r>
      <w:r>
        <w:instrText xml:space="preserve"> PAGEREF _Toc5737 \h </w:instrText>
      </w:r>
      <w:r>
        <w:fldChar w:fldCharType="separate"/>
      </w:r>
      <w:r>
        <w:t>16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8744AA9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_Toc10159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8 请求与接口设计</w:t>
      </w:r>
      <w:r>
        <w:tab/>
      </w:r>
      <w:r>
        <w:fldChar w:fldCharType="begin"/>
      </w:r>
      <w:r>
        <w:instrText xml:space="preserve"> PAGEREF _Toc10159 \h </w:instrText>
      </w:r>
      <w:r>
        <w:fldChar w:fldCharType="separate"/>
      </w:r>
      <w:r>
        <w:t>16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A928A60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_Toc29871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8.1 MES 通用请求</w:t>
      </w:r>
      <w:r>
        <w:tab/>
      </w:r>
      <w:r>
        <w:fldChar w:fldCharType="begin"/>
      </w:r>
      <w:r>
        <w:instrText xml:space="preserve"> PAGEREF _Toc29871 \h </w:instrText>
      </w:r>
      <w:r>
        <w:fldChar w:fldCharType="separate"/>
      </w:r>
      <w:r>
        <w:t>16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EAD587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_Toc32679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8.2 SAP B1 与 TM 代理</w:t>
      </w:r>
      <w:r>
        <w:tab/>
      </w:r>
      <w:r>
        <w:fldChar w:fldCharType="begin"/>
      </w:r>
      <w:r>
        <w:instrText xml:space="preserve"> PAGEREF _Toc32679 \h </w:instrText>
      </w:r>
      <w:r>
        <w:fldChar w:fldCharType="separate"/>
      </w:r>
      <w:r>
        <w:t>17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76A1EF8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_Toc27525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8.3 接口标准</w:t>
      </w:r>
      <w:r>
        <w:tab/>
      </w:r>
      <w:r>
        <w:fldChar w:fldCharType="begin"/>
      </w:r>
      <w:r>
        <w:instrText xml:space="preserve"> PAGEREF _Toc27525 \h </w:instrText>
      </w:r>
      <w:r>
        <w:fldChar w:fldCharType="separate"/>
      </w:r>
      <w:r>
        <w:t>17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60509F4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_Toc6538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9 数据架构</w:t>
      </w:r>
      <w:r>
        <w:tab/>
      </w:r>
      <w:r>
        <w:fldChar w:fldCharType="begin"/>
      </w:r>
      <w:r>
        <w:instrText xml:space="preserve"> PAGEREF _Toc6538 \h </w:instrText>
      </w:r>
      <w:r>
        <w:fldChar w:fldCharType="separate"/>
      </w:r>
      <w:r>
        <w:t>18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EE1D4FA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_Toc13003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9.1 正式数据库基线</w:t>
      </w:r>
      <w:r>
        <w:tab/>
      </w:r>
      <w:r>
        <w:fldChar w:fldCharType="begin"/>
      </w:r>
      <w:r>
        <w:instrText xml:space="preserve"> PAGEREF _Toc13003 \h </w:instrText>
      </w:r>
      <w:r>
        <w:fldChar w:fldCharType="separate"/>
      </w:r>
      <w:r>
        <w:t>18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F84FB7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_Toc21644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9.2 核心数据域</w:t>
      </w:r>
      <w:r>
        <w:tab/>
      </w:r>
      <w:r>
        <w:fldChar w:fldCharType="begin"/>
      </w:r>
      <w:r>
        <w:instrText xml:space="preserve"> PAGEREF _Toc21644 \h </w:instrText>
      </w:r>
      <w:r>
        <w:fldChar w:fldCharType="separate"/>
      </w:r>
      <w:r>
        <w:t>18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BFE467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_Toc24687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9.3 关键状态模型</w:t>
      </w:r>
      <w:r>
        <w:tab/>
      </w:r>
      <w:r>
        <w:fldChar w:fldCharType="begin"/>
      </w:r>
      <w:r>
        <w:instrText xml:space="preserve"> PAGEREF _Toc24687 \h </w:instrText>
      </w:r>
      <w:r>
        <w:fldChar w:fldCharType="separate"/>
      </w:r>
      <w:r>
        <w:t>18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47AB90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_Toc31807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9.4 数据完整性与事务</w:t>
      </w:r>
      <w:r>
        <w:tab/>
      </w:r>
      <w:r>
        <w:fldChar w:fldCharType="begin"/>
      </w:r>
      <w:r>
        <w:instrText xml:space="preserve"> PAGEREF _Toc31807 \h </w:instrText>
      </w:r>
      <w:r>
        <w:fldChar w:fldCharType="separate"/>
      </w:r>
      <w:r>
        <w:t>19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560335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_Toc29078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9.5 备份与恢复</w:t>
      </w:r>
      <w:r>
        <w:tab/>
      </w:r>
      <w:r>
        <w:fldChar w:fldCharType="begin"/>
      </w:r>
      <w:r>
        <w:instrText xml:space="preserve"> PAGEREF _Toc29078 \h </w:instrText>
      </w:r>
      <w:r>
        <w:fldChar w:fldCharType="separate"/>
      </w:r>
      <w:r>
        <w:t>19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C2FD201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_Toc25003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10 关键业务技术设计</w:t>
      </w:r>
      <w:r>
        <w:tab/>
      </w:r>
      <w:r>
        <w:fldChar w:fldCharType="begin"/>
      </w:r>
      <w:r>
        <w:instrText xml:space="preserve"> PAGEREF _Toc25003 \h </w:instrText>
      </w:r>
      <w:r>
        <w:fldChar w:fldCharType="separate"/>
      </w:r>
      <w:r>
        <w:t>19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C9CC15B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_Toc25042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10.1 工艺到任务下发</w:t>
      </w:r>
      <w:r>
        <w:tab/>
      </w:r>
      <w:r>
        <w:fldChar w:fldCharType="begin"/>
      </w:r>
      <w:r>
        <w:instrText xml:space="preserve"> PAGEREF _Toc25042 \h </w:instrText>
      </w:r>
      <w:r>
        <w:fldChar w:fldCharType="separate"/>
      </w:r>
      <w:r>
        <w:t>19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E9ED3F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_Toc28184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10.2 计划排产到生产执行</w:t>
      </w:r>
      <w:r>
        <w:tab/>
      </w:r>
      <w:r>
        <w:fldChar w:fldCharType="begin"/>
      </w:r>
      <w:r>
        <w:instrText xml:space="preserve"> PAGEREF _Toc28184 \h </w:instrText>
      </w:r>
      <w:r>
        <w:fldChar w:fldCharType="separate"/>
      </w:r>
      <w:r>
        <w:t>20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C36AE5E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_Toc26948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10.3 工时闭环</w:t>
      </w:r>
      <w:r>
        <w:tab/>
      </w:r>
      <w:r>
        <w:fldChar w:fldCharType="begin"/>
      </w:r>
      <w:r>
        <w:instrText xml:space="preserve"> PAGEREF _Toc26948 \h </w:instrText>
      </w:r>
      <w:r>
        <w:fldChar w:fldCharType="separate"/>
      </w:r>
      <w:r>
        <w:t>20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351CE4E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_Toc1336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10.4 质量闭环</w:t>
      </w:r>
      <w:r>
        <w:tab/>
      </w:r>
      <w:r>
        <w:fldChar w:fldCharType="begin"/>
      </w:r>
      <w:r>
        <w:instrText xml:space="preserve"> PAGEREF _Toc1336 \h </w:instrText>
      </w:r>
      <w:r>
        <w:fldChar w:fldCharType="separate"/>
      </w:r>
      <w:r>
        <w:t>20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DD607AE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_Toc159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10.5 异常与交付</w:t>
      </w:r>
      <w:r>
        <w:tab/>
      </w:r>
      <w:r>
        <w:fldChar w:fldCharType="begin"/>
      </w:r>
      <w:r>
        <w:instrText xml:space="preserve"> PAGEREF _Toc159 \h </w:instrText>
      </w:r>
      <w:r>
        <w:fldChar w:fldCharType="separate"/>
      </w:r>
      <w:r>
        <w:t>20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3EF1DD4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_Toc31126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 模块技术边界</w:t>
      </w:r>
      <w:r>
        <w:tab/>
      </w:r>
      <w:r>
        <w:fldChar w:fldCharType="begin"/>
      </w:r>
      <w:r>
        <w:instrText xml:space="preserve"> PAGEREF _Toc31126 \h </w:instrText>
      </w:r>
      <w:r>
        <w:fldChar w:fldCharType="separate"/>
      </w:r>
      <w:r>
        <w:t>20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2EB8D73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_Toc606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11.1 系统管理</w:t>
      </w:r>
      <w:r>
        <w:tab/>
      </w:r>
      <w:r>
        <w:fldChar w:fldCharType="begin"/>
      </w:r>
      <w:r>
        <w:instrText xml:space="preserve"> PAGEREF _Toc606 \h </w:instrText>
      </w:r>
      <w:r>
        <w:fldChar w:fldCharType="separate"/>
      </w:r>
      <w:r>
        <w:t>20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865BFB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_Toc11629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11.2 设备管理</w:t>
      </w:r>
      <w:r>
        <w:tab/>
      </w:r>
      <w:r>
        <w:fldChar w:fldCharType="begin"/>
      </w:r>
      <w:r>
        <w:instrText xml:space="preserve"> PAGEREF _Toc11629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FE8AB5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_Toc15034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11.3 研发管理</w:t>
      </w:r>
      <w:r>
        <w:tab/>
      </w:r>
      <w:r>
        <w:fldChar w:fldCharType="begin"/>
      </w:r>
      <w:r>
        <w:instrText xml:space="preserve"> PAGEREF _Toc15034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F68048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_Toc2906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11.4 工艺管理</w:t>
      </w:r>
      <w:r>
        <w:tab/>
      </w:r>
      <w:r>
        <w:fldChar w:fldCharType="begin"/>
      </w:r>
      <w:r>
        <w:instrText xml:space="preserve"> PAGEREF _Toc2906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E0D150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_Toc1043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11.5 计划排产</w:t>
      </w:r>
      <w:r>
        <w:tab/>
      </w:r>
      <w:r>
        <w:fldChar w:fldCharType="begin"/>
      </w:r>
      <w:r>
        <w:instrText xml:space="preserve"> PAGEREF _Toc1043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BB8D345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_Toc7561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11.6 生产管理</w:t>
      </w:r>
      <w:r>
        <w:tab/>
      </w:r>
      <w:r>
        <w:fldChar w:fldCharType="begin"/>
      </w:r>
      <w:r>
        <w:instrText xml:space="preserve"> PAGEREF _Toc7561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3EEB25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_Toc15347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11.7 异常提醒</w:t>
      </w:r>
      <w:r>
        <w:tab/>
      </w:r>
      <w:r>
        <w:fldChar w:fldCharType="begin"/>
      </w:r>
      <w:r>
        <w:instrText xml:space="preserve"> PAGEREF _Toc15347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F5DCB36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_Toc32581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11.8 质量管理</w:t>
      </w:r>
      <w:r>
        <w:tab/>
      </w:r>
      <w:r>
        <w:fldChar w:fldCharType="begin"/>
      </w:r>
      <w:r>
        <w:instrText xml:space="preserve"> PAGEREF _Toc32581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1A3D78C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_Toc31952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11.9 销售订单管理</w:t>
      </w:r>
      <w:r>
        <w:tab/>
      </w:r>
      <w:r>
        <w:fldChar w:fldCharType="begin"/>
      </w:r>
      <w:r>
        <w:instrText xml:space="preserve"> PAGEREF _Toc31952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BD319EA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_Toc1049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12 文件、设备与外部集成</w:t>
      </w:r>
      <w:r>
        <w:tab/>
      </w:r>
      <w:r>
        <w:fldChar w:fldCharType="begin"/>
      </w:r>
      <w:r>
        <w:instrText xml:space="preserve"> PAGEREF _Toc1049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C7032A6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_Toc11063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12.1 图纸与附件</w:t>
      </w:r>
      <w:r>
        <w:tab/>
      </w:r>
      <w:r>
        <w:fldChar w:fldCharType="begin"/>
      </w:r>
      <w:r>
        <w:instrText xml:space="preserve"> PAGEREF _Toc11063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29106C38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_Toc2271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12.2 AGV</w:t>
      </w:r>
      <w:r>
        <w:tab/>
      </w:r>
      <w:r>
        <w:fldChar w:fldCharType="begin"/>
      </w:r>
      <w:r>
        <w:instrText xml:space="preserve"> PAGEREF _Toc2271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1DF5BE2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_Toc6416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12.3 设备与 MQTT</w:t>
      </w:r>
      <w:r>
        <w:tab/>
      </w:r>
      <w:r>
        <w:fldChar w:fldCharType="begin"/>
      </w:r>
      <w:r>
        <w:instrText xml:space="preserve"> PAGEREF _Toc6416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95986A0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_Toc18038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12.4 SAP B1</w:t>
      </w:r>
      <w:r>
        <w:tab/>
      </w:r>
      <w:r>
        <w:fldChar w:fldCharType="begin"/>
      </w:r>
      <w:r>
        <w:instrText xml:space="preserve"> PAGEREF _Toc18038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00E6ADA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_Toc22535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13 日志、监控与审计</w:t>
      </w:r>
      <w:r>
        <w:tab/>
      </w:r>
      <w:r>
        <w:fldChar w:fldCharType="begin"/>
      </w:r>
      <w:r>
        <w:instrText xml:space="preserve"> PAGEREF _Toc22535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59A4DB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_Toc31477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13.1 日志分类</w:t>
      </w:r>
      <w:r>
        <w:tab/>
      </w:r>
      <w:r>
        <w:fldChar w:fldCharType="begin"/>
      </w:r>
      <w:r>
        <w:instrText xml:space="preserve"> PAGEREF _Toc31477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7DB907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_Toc23668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13.2 监控指标</w:t>
      </w:r>
      <w:r>
        <w:tab/>
      </w:r>
      <w:r>
        <w:fldChar w:fldCharType="begin"/>
      </w:r>
      <w:r>
        <w:instrText xml:space="preserve"> PAGEREF _Toc23668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C91F4D2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_Toc9615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13.3 告警分级</w:t>
      </w:r>
      <w:r>
        <w:tab/>
      </w:r>
      <w:r>
        <w:fldChar w:fldCharType="begin"/>
      </w:r>
      <w:r>
        <w:instrText xml:space="preserve"> PAGEREF _Toc9615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FFD13F4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_Toc23594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14 性能与容量</w:t>
      </w:r>
      <w:r>
        <w:tab/>
      </w:r>
      <w:r>
        <w:fldChar w:fldCharType="begin"/>
      </w:r>
      <w:r>
        <w:instrText xml:space="preserve"> PAGEREF _Toc23594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A6210C0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_Toc12935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14.1 查询规范</w:t>
      </w:r>
      <w:r>
        <w:tab/>
      </w:r>
      <w:r>
        <w:fldChar w:fldCharType="begin"/>
      </w:r>
      <w:r>
        <w:instrText xml:space="preserve"> PAGEREF _Toc12935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6949C7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_Toc28950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14.2 容量基线与趋势</w:t>
      </w:r>
      <w:r>
        <w:tab/>
      </w:r>
      <w:r>
        <w:fldChar w:fldCharType="begin"/>
      </w:r>
      <w:r>
        <w:instrText xml:space="preserve"> PAGEREF _Toc28950 \h </w:instrText>
      </w:r>
      <w:r>
        <w:fldChar w:fldCharType="separate"/>
      </w:r>
      <w:r>
        <w:t>25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C027676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_Toc8168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14.3 性能验收建议</w:t>
      </w:r>
      <w:r>
        <w:tab/>
      </w:r>
      <w:r>
        <w:fldChar w:fldCharType="begin"/>
      </w:r>
      <w:r>
        <w:instrText xml:space="preserve"> PAGEREF _Toc8168 \h </w:instrText>
      </w:r>
      <w:r>
        <w:fldChar w:fldCharType="separate"/>
      </w:r>
      <w:r>
        <w:t>25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9D88CDC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_Toc1439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15 运维与故障处理</w:t>
      </w:r>
      <w:r>
        <w:tab/>
      </w:r>
      <w:r>
        <w:fldChar w:fldCharType="begin"/>
      </w:r>
      <w:r>
        <w:instrText xml:space="preserve"> PAGEREF _Toc1439 \h </w:instrText>
      </w:r>
      <w:r>
        <w:fldChar w:fldCharType="separate"/>
      </w:r>
      <w:r>
        <w:t>25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1371A72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_Toc10465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15.1 日常检查</w:t>
      </w:r>
      <w:r>
        <w:tab/>
      </w:r>
      <w:r>
        <w:fldChar w:fldCharType="begin"/>
      </w:r>
      <w:r>
        <w:instrText xml:space="preserve"> PAGEREF _Toc10465 \h </w:instrText>
      </w:r>
      <w:r>
        <w:fldChar w:fldCharType="separate"/>
      </w:r>
      <w:r>
        <w:t>25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1DB9E2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_Toc283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15.2 故障定位顺序</w:t>
      </w:r>
      <w:r>
        <w:tab/>
      </w:r>
      <w:r>
        <w:fldChar w:fldCharType="begin"/>
      </w:r>
      <w:r>
        <w:instrText xml:space="preserve"> PAGEREF _Toc283 \h </w:instrText>
      </w:r>
      <w:r>
        <w:fldChar w:fldCharType="separate"/>
      </w:r>
      <w:r>
        <w:t>25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E76F6A6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_Toc13539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15.3 常见故障矩阵</w:t>
      </w:r>
      <w:r>
        <w:tab/>
      </w:r>
      <w:r>
        <w:fldChar w:fldCharType="begin"/>
      </w:r>
      <w:r>
        <w:instrText xml:space="preserve"> PAGEREF _Toc13539 \h </w:instrText>
      </w:r>
      <w:r>
        <w:fldChar w:fldCharType="separate"/>
      </w:r>
      <w:r>
        <w:t>26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AD37D56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_Toc7382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16 变更、发布与回退</w:t>
      </w:r>
      <w:r>
        <w:tab/>
      </w:r>
      <w:r>
        <w:fldChar w:fldCharType="begin"/>
      </w:r>
      <w:r>
        <w:instrText xml:space="preserve"> PAGEREF _Toc7382 \h </w:instrText>
      </w:r>
      <w:r>
        <w:fldChar w:fldCharType="separate"/>
      </w:r>
      <w:r>
        <w:t>26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2978A93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_Toc28935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16.1 标准变更流程</w:t>
      </w:r>
      <w:r>
        <w:tab/>
      </w:r>
      <w:r>
        <w:fldChar w:fldCharType="begin"/>
      </w:r>
      <w:r>
        <w:instrText xml:space="preserve"> PAGEREF _Toc28935 \h </w:instrText>
      </w:r>
      <w:r>
        <w:fldChar w:fldCharType="separate"/>
      </w:r>
      <w:r>
        <w:t>26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A67BB8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_Toc20103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16.2 数据库脚本规范</w:t>
      </w:r>
      <w:r>
        <w:tab/>
      </w:r>
      <w:r>
        <w:fldChar w:fldCharType="begin"/>
      </w:r>
      <w:r>
        <w:instrText xml:space="preserve"> PAGEREF _Toc20103 \h </w:instrText>
      </w:r>
      <w:r>
        <w:fldChar w:fldCharType="separate"/>
      </w:r>
      <w:r>
        <w:t>26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0922D47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_Toc27967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16.3 前端发布检查</w:t>
      </w:r>
      <w:r>
        <w:tab/>
      </w:r>
      <w:r>
        <w:fldChar w:fldCharType="begin"/>
      </w:r>
      <w:r>
        <w:instrText xml:space="preserve"> PAGEREF _Toc27967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0037B27E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_Toc23328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17 测试与验收</w:t>
      </w:r>
      <w:r>
        <w:tab/>
      </w:r>
      <w:r>
        <w:fldChar w:fldCharType="begin"/>
      </w:r>
      <w:r>
        <w:instrText xml:space="preserve"> PAGEREF _Toc23328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332C9C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_Toc9302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17.1 测试层次</w:t>
      </w:r>
      <w:r>
        <w:tab/>
      </w:r>
      <w:r>
        <w:fldChar w:fldCharType="begin"/>
      </w:r>
      <w:r>
        <w:instrText xml:space="preserve"> PAGEREF _Toc9302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47D5D1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_Toc32085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17.2 核心回归场景</w:t>
      </w:r>
      <w:r>
        <w:tab/>
      </w:r>
      <w:r>
        <w:fldChar w:fldCharType="begin"/>
      </w:r>
      <w:r>
        <w:instrText xml:space="preserve"> PAGEREF _Toc32085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3C756875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_Toc19678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17.3 上线验收门槛</w:t>
      </w:r>
      <w:r>
        <w:tab/>
      </w:r>
      <w:r>
        <w:fldChar w:fldCharType="begin"/>
      </w:r>
      <w:r>
        <w:instrText xml:space="preserve"> PAGEREF _Toc19678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57C88984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_Toc9571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18 风险与技术债</w:t>
      </w:r>
      <w:r>
        <w:tab/>
      </w:r>
      <w:r>
        <w:fldChar w:fldCharType="begin"/>
      </w:r>
      <w:r>
        <w:instrText xml:space="preserve"> PAGEREF _Toc9571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B70A3CB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_Toc617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19 附录A：正式功能页面清单</w:t>
      </w:r>
      <w:r>
        <w:tab/>
      </w:r>
      <w:r>
        <w:fldChar w:fldCharType="begin"/>
      </w:r>
      <w:r>
        <w:instrText xml:space="preserve"> PAGEREF _Toc617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334CB7E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_Toc17352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A.1 系统管理</w:t>
      </w:r>
      <w:r>
        <w:tab/>
      </w:r>
      <w:r>
        <w:fldChar w:fldCharType="begin"/>
      </w:r>
      <w:r>
        <w:instrText xml:space="preserve"> PAGEREF _Toc17352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D1C5D34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_Toc4555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A.2 设备管理</w:t>
      </w:r>
      <w:r>
        <w:tab/>
      </w:r>
      <w:r>
        <w:fldChar w:fldCharType="begin"/>
      </w:r>
      <w:r>
        <w:instrText xml:space="preserve"> PAGEREF _Toc4555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918A54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_Toc24338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A.3 研发管理</w:t>
      </w:r>
      <w:r>
        <w:tab/>
      </w:r>
      <w:r>
        <w:fldChar w:fldCharType="begin"/>
      </w:r>
      <w:r>
        <w:instrText xml:space="preserve"> PAGEREF _Toc24338 \h </w:instrText>
      </w:r>
      <w:r>
        <w:fldChar w:fldCharType="separate"/>
      </w:r>
      <w:r>
        <w:t>29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8CB9306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_Toc18490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A.4 工艺管理</w:t>
      </w:r>
      <w:r>
        <w:tab/>
      </w:r>
      <w:r>
        <w:fldChar w:fldCharType="begin"/>
      </w:r>
      <w:r>
        <w:instrText xml:space="preserve"> PAGEREF _Toc18490 \h </w:instrText>
      </w:r>
      <w:r>
        <w:fldChar w:fldCharType="separate"/>
      </w:r>
      <w:r>
        <w:t>29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7C7418D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_Toc29948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A.5 计划排产</w:t>
      </w:r>
      <w:r>
        <w:tab/>
      </w:r>
      <w:r>
        <w:fldChar w:fldCharType="begin"/>
      </w:r>
      <w:r>
        <w:instrText xml:space="preserve"> PAGEREF _Toc29948 \h </w:instrText>
      </w:r>
      <w:r>
        <w:fldChar w:fldCharType="separate"/>
      </w:r>
      <w:r>
        <w:t>29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790AB1B9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_Toc25723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A.6 生产管理</w:t>
      </w:r>
      <w:r>
        <w:tab/>
      </w:r>
      <w:r>
        <w:fldChar w:fldCharType="begin"/>
      </w:r>
      <w:r>
        <w:instrText xml:space="preserve"> PAGEREF _Toc25723 \h </w:instrText>
      </w:r>
      <w:r>
        <w:fldChar w:fldCharType="separate"/>
      </w:r>
      <w:r>
        <w:t>30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720205F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_Toc26972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A.7 异常提醒</w:t>
      </w:r>
      <w:r>
        <w:tab/>
      </w:r>
      <w:r>
        <w:fldChar w:fldCharType="begin"/>
      </w:r>
      <w:r>
        <w:instrText xml:space="preserve"> PAGEREF _Toc26972 \h </w:instrText>
      </w:r>
      <w:r>
        <w:fldChar w:fldCharType="separate"/>
      </w:r>
      <w:r>
        <w:t>30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64FEC1E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_Toc649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A.8 质量管理</w:t>
      </w:r>
      <w:r>
        <w:tab/>
      </w:r>
      <w:r>
        <w:fldChar w:fldCharType="begin"/>
      </w:r>
      <w:r>
        <w:instrText xml:space="preserve"> PAGEREF _Toc649 \h </w:instrText>
      </w:r>
      <w:r>
        <w:fldChar w:fldCharType="separate"/>
      </w:r>
      <w:r>
        <w:t>30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911F40C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_Toc6592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A.9 销售订单管理</w:t>
      </w:r>
      <w:r>
        <w:tab/>
      </w:r>
      <w:r>
        <w:fldChar w:fldCharType="begin"/>
      </w:r>
      <w:r>
        <w:instrText xml:space="preserve"> PAGEREF _Toc6592 \h </w:instrText>
      </w:r>
      <w:r>
        <w:fldChar w:fldCharType="separate"/>
      </w:r>
      <w:r>
        <w:t>31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8834292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_Toc23891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20 附录B：关键对象参考</w:t>
      </w:r>
      <w:r>
        <w:tab/>
      </w:r>
      <w:r>
        <w:fldChar w:fldCharType="begin"/>
      </w:r>
      <w:r>
        <w:instrText xml:space="preserve"> PAGEREF _Toc23891 \h </w:instrText>
      </w:r>
      <w:r>
        <w:fldChar w:fldCharType="separate"/>
      </w:r>
      <w:r>
        <w:t>31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952AAB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_Toc8868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B.1 代表性数据库对象</w:t>
      </w:r>
      <w:r>
        <w:tab/>
      </w:r>
      <w:r>
        <w:fldChar w:fldCharType="begin"/>
      </w:r>
      <w:r>
        <w:instrText xml:space="preserve"> PAGEREF _Toc8868 \h </w:instrText>
      </w:r>
      <w:r>
        <w:fldChar w:fldCharType="separate"/>
      </w:r>
      <w:r>
        <w:t>31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6D4F7E61">
      <w:pPr>
        <w:pStyle w:val="8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_Toc24450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B.2 关键前端入口</w:t>
      </w:r>
      <w:r>
        <w:tab/>
      </w:r>
      <w:r>
        <w:fldChar w:fldCharType="begin"/>
      </w:r>
      <w:r>
        <w:instrText xml:space="preserve"> PAGEREF _Toc24450 \h </w:instrText>
      </w:r>
      <w:r>
        <w:fldChar w:fldCharType="separate"/>
      </w:r>
      <w:r>
        <w:t>31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4DE4BFF5">
      <w:pPr>
        <w:pStyle w:val="7"/>
        <w:tabs>
          <w:tab w:val="right" w:leader="dot" w:pos="9354"/>
        </w:tabs>
      </w:pPr>
      <w:r>
        <w:rPr>
          <w:rFonts w:hint="default"/>
          <w:lang w:eastAsia="zh-CN"/>
        </w:rPr>
        <w:fldChar w:fldCharType="begin"/>
      </w:r>
      <w:r>
        <w:rPr>
          <w:rFonts w:hint="default"/>
          <w:lang w:eastAsia="zh-CN"/>
        </w:rPr>
        <w:instrText xml:space="preserve"> HYPERLINK \l _Toc2984 </w:instrText>
      </w:r>
      <w:r>
        <w:rPr>
          <w:rFonts w:hint="default"/>
          <w:lang w:eastAsia="zh-CN"/>
        </w:rPr>
        <w:fldChar w:fldCharType="separate"/>
      </w:r>
      <w:r>
        <w:rPr>
          <w:rFonts w:hint="eastAsia"/>
          <w:lang w:eastAsia="zh-CN"/>
        </w:rPr>
        <w:t>21 附录C：上线与运维检查表</w:t>
      </w:r>
      <w:r>
        <w:tab/>
      </w:r>
      <w:r>
        <w:fldChar w:fldCharType="begin"/>
      </w:r>
      <w:r>
        <w:instrText xml:space="preserve"> PAGEREF _Toc2984 \h </w:instrText>
      </w:r>
      <w:r>
        <w:fldChar w:fldCharType="separate"/>
      </w:r>
      <w:r>
        <w:t>32</w:t>
      </w:r>
      <w:r>
        <w:fldChar w:fldCharType="end"/>
      </w:r>
      <w:r>
        <w:rPr>
          <w:rFonts w:hint="default"/>
          <w:lang w:eastAsia="zh-CN"/>
        </w:rPr>
        <w:fldChar w:fldCharType="end"/>
      </w:r>
    </w:p>
    <w:p w14:paraId="1C011042">
      <w:pPr>
        <w:bidi w:val="0"/>
        <w:rPr>
          <w:rFonts w:hint="default"/>
          <w:lang w:eastAsia="zh-CN"/>
        </w:rPr>
      </w:pPr>
      <w:r>
        <w:rPr>
          <w:rFonts w:hint="default"/>
          <w:lang w:eastAsia="zh-CN"/>
        </w:rPr>
        <w:fldChar w:fldCharType="end"/>
      </w:r>
    </w:p>
    <w:p w14:paraId="08EF953B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15165629">
      <w:pPr>
        <w:pStyle w:val="2"/>
        <w:bidi w:val="0"/>
        <w:rPr>
          <w:rFonts w:hint="eastAsia"/>
          <w:lang w:eastAsia="zh-CN"/>
        </w:rPr>
      </w:pPr>
      <w:bookmarkStart w:id="4" w:name="_Toc29408"/>
      <w:r>
        <w:rPr>
          <w:rFonts w:hint="eastAsia"/>
          <w:lang w:eastAsia="zh-CN"/>
        </w:rPr>
        <w:t>1 文档说明</w:t>
      </w:r>
      <w:bookmarkEnd w:id="4"/>
    </w:p>
    <w:p w14:paraId="0CFB4388">
      <w:pPr>
        <w:pStyle w:val="3"/>
        <w:bidi w:val="0"/>
        <w:rPr>
          <w:rFonts w:hint="eastAsia"/>
          <w:lang w:eastAsia="zh-CN"/>
        </w:rPr>
      </w:pPr>
      <w:bookmarkStart w:id="5" w:name="_Toc1638"/>
      <w:r>
        <w:rPr>
          <w:rFonts w:hint="eastAsia"/>
          <w:lang w:eastAsia="zh-CN"/>
        </w:rPr>
        <w:t>1.1 目的</w:t>
      </w:r>
      <w:bookmarkEnd w:id="5"/>
    </w:p>
    <w:p w14:paraId="192A6614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本文档定义 MES 系统当前技术实现基线，并给出部署、配置、权限、数据、接口、运维、变更和验收的统一要求。它用于技术交接和持续维护，不替代面向最终用户的操作手册。</w:t>
      </w:r>
    </w:p>
    <w:p w14:paraId="47EAB9C5">
      <w:pPr>
        <w:pStyle w:val="3"/>
        <w:bidi w:val="0"/>
        <w:rPr>
          <w:rFonts w:hint="eastAsia"/>
          <w:lang w:eastAsia="zh-CN"/>
        </w:rPr>
      </w:pPr>
      <w:bookmarkStart w:id="6" w:name="_Toc21041"/>
      <w:r>
        <w:rPr>
          <w:rFonts w:hint="eastAsia"/>
          <w:lang w:eastAsia="zh-CN"/>
        </w:rPr>
        <w:t>1.2 适用对象</w:t>
      </w:r>
      <w:bookmarkEnd w:id="6"/>
    </w:p>
    <w:p w14:paraId="33D2824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实施人员：确认网络、服务、数据库、外部系统和上线条件。</w:t>
      </w:r>
    </w:p>
    <w:p w14:paraId="2E5EECDD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开发人员：理解代码结构、请求约定、模块边界、数据链路和变更规则。</w:t>
      </w:r>
    </w:p>
    <w:p w14:paraId="7DC431E7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测试人员：依据关键状态、接口契约和验收清单设计测试。</w:t>
      </w:r>
    </w:p>
    <w:p w14:paraId="4E88C99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运维人员：执行部署、监控、备份、恢复、故障定位和应急处置。</w:t>
      </w:r>
    </w:p>
    <w:p w14:paraId="190A4C2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审计与管理人员：核对权限、日志、变更记录和数据保护措施。</w:t>
      </w:r>
    </w:p>
    <w:p w14:paraId="29B7F7EF">
      <w:pPr>
        <w:pStyle w:val="3"/>
        <w:bidi w:val="0"/>
        <w:rPr>
          <w:rFonts w:hint="eastAsia"/>
          <w:lang w:eastAsia="zh-CN"/>
        </w:rPr>
      </w:pPr>
      <w:bookmarkStart w:id="7" w:name="_Toc30763"/>
      <w:r>
        <w:rPr>
          <w:rFonts w:hint="eastAsia"/>
          <w:lang w:eastAsia="zh-CN"/>
        </w:rPr>
        <w:t>1.3 事实与规范的区分</w:t>
      </w:r>
      <w:bookmarkEnd w:id="7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3969"/>
        <w:gridCol w:w="3969"/>
      </w:tblGrid>
      <w:tr w14:paraId="36C4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01" w:type="dxa"/>
            <w:vAlign w:val="center"/>
          </w:tcPr>
          <w:p w14:paraId="2559101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标识</w:t>
            </w:r>
          </w:p>
        </w:tc>
        <w:tc>
          <w:tcPr>
            <w:tcW w:w="3969" w:type="dxa"/>
            <w:vAlign w:val="center"/>
          </w:tcPr>
          <w:p w14:paraId="4B307B51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含义</w:t>
            </w:r>
          </w:p>
        </w:tc>
        <w:tc>
          <w:tcPr>
            <w:tcW w:w="3969" w:type="dxa"/>
            <w:vAlign w:val="center"/>
          </w:tcPr>
          <w:p w14:paraId="2DAE50D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使用方式</w:t>
            </w:r>
          </w:p>
        </w:tc>
      </w:tr>
      <w:tr w14:paraId="673F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5D788EF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当前实现</w:t>
            </w:r>
          </w:p>
        </w:tc>
        <w:tc>
          <w:tcPr>
            <w:tcW w:w="3969" w:type="dxa"/>
            <w:vAlign w:val="center"/>
          </w:tcPr>
          <w:p w14:paraId="35AE6F2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由代码、配置或正式数据库只读元数据确认的现状</w:t>
            </w:r>
          </w:p>
        </w:tc>
        <w:tc>
          <w:tcPr>
            <w:tcW w:w="3969" w:type="dxa"/>
            <w:vAlign w:val="center"/>
          </w:tcPr>
          <w:p w14:paraId="089BADE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用于复现和维护当前系统</w:t>
            </w:r>
          </w:p>
        </w:tc>
      </w:tr>
      <w:tr w14:paraId="6D7A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1BD5D4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标准要求</w:t>
            </w:r>
          </w:p>
        </w:tc>
        <w:tc>
          <w:tcPr>
            <w:tcW w:w="3969" w:type="dxa"/>
            <w:vAlign w:val="center"/>
          </w:tcPr>
          <w:p w14:paraId="5C98015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后续建设、变更和运维应遵循的控制要求</w:t>
            </w:r>
          </w:p>
        </w:tc>
        <w:tc>
          <w:tcPr>
            <w:tcW w:w="3969" w:type="dxa"/>
            <w:vAlign w:val="center"/>
          </w:tcPr>
          <w:p w14:paraId="3FA8C1E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作为评审和验收依据</w:t>
            </w:r>
          </w:p>
        </w:tc>
      </w:tr>
      <w:tr w14:paraId="2DE9D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755F4FE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改进建议</w:t>
            </w:r>
          </w:p>
        </w:tc>
        <w:tc>
          <w:tcPr>
            <w:tcW w:w="3969" w:type="dxa"/>
            <w:vAlign w:val="center"/>
          </w:tcPr>
          <w:p w14:paraId="59B335D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现状可运行但存在安全、可维护性或恢复能力风险</w:t>
            </w:r>
          </w:p>
        </w:tc>
        <w:tc>
          <w:tcPr>
            <w:tcW w:w="3969" w:type="dxa"/>
            <w:vAlign w:val="center"/>
          </w:tcPr>
          <w:p w14:paraId="3D71115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纳入版本计划，评估后实施</w:t>
            </w:r>
          </w:p>
        </w:tc>
      </w:tr>
    </w:tbl>
    <w:p w14:paraId="6BB89DDA">
      <w:pPr>
        <w:bidi w:val="0"/>
        <w:rPr>
          <w:rFonts w:hint="default"/>
          <w:lang w:eastAsia="zh-CN"/>
        </w:rPr>
      </w:pPr>
    </w:p>
    <w:p w14:paraId="5AA81FC6">
      <w:pPr>
        <w:pStyle w:val="3"/>
        <w:bidi w:val="0"/>
        <w:rPr>
          <w:rFonts w:hint="eastAsia"/>
          <w:lang w:eastAsia="zh-CN"/>
        </w:rPr>
      </w:pPr>
      <w:bookmarkStart w:id="8" w:name="_Toc21724"/>
      <w:r>
        <w:rPr>
          <w:rFonts w:hint="eastAsia"/>
          <w:lang w:eastAsia="zh-CN"/>
        </w:rPr>
        <w:t>1.4 基线与范围</w:t>
      </w:r>
      <w:bookmarkEnd w:id="8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81"/>
        <w:gridCol w:w="7258"/>
      </w:tblGrid>
      <w:tr w14:paraId="723AD2D1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381" w:type="dxa"/>
            <w:vAlign w:val="center"/>
          </w:tcPr>
          <w:p w14:paraId="023EBADA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7258" w:type="dxa"/>
            <w:vAlign w:val="center"/>
          </w:tcPr>
          <w:p w14:paraId="54F6B9B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基线值</w:t>
            </w:r>
          </w:p>
        </w:tc>
      </w:tr>
      <w:tr w14:paraId="05D0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61EFBE6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项目目录</w:t>
            </w:r>
          </w:p>
        </w:tc>
        <w:tc>
          <w:tcPr>
            <w:tcW w:w="7258" w:type="dxa"/>
            <w:vAlign w:val="center"/>
          </w:tcPr>
          <w:p w14:paraId="4CD19AE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MES_Manage_View_V20</w:t>
            </w:r>
          </w:p>
        </w:tc>
      </w:tr>
      <w:tr w14:paraId="2E18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268AC6D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前端版本</w:t>
            </w:r>
          </w:p>
        </w:tc>
        <w:tc>
          <w:tcPr>
            <w:tcW w:w="7258" w:type="dxa"/>
            <w:vAlign w:val="center"/>
          </w:tcPr>
          <w:p w14:paraId="3D9F8D4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package.json：1.1.0</w:t>
            </w:r>
          </w:p>
        </w:tc>
      </w:tr>
      <w:tr w14:paraId="1AF1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5435980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功能范围</w:t>
            </w:r>
          </w:p>
        </w:tc>
        <w:tc>
          <w:tcPr>
            <w:tcW w:w="7258" w:type="dxa"/>
            <w:vAlign w:val="center"/>
          </w:tcPr>
          <w:p w14:paraId="64E3601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9个一级业务模块，75个正式启用功能页面</w:t>
            </w:r>
          </w:p>
        </w:tc>
      </w:tr>
      <w:tr w14:paraId="1944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8B6990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前端规模</w:t>
            </w:r>
          </w:p>
        </w:tc>
        <w:tc>
          <w:tcPr>
            <w:tcW w:w="7258" w:type="dxa"/>
            <w:vAlign w:val="center"/>
          </w:tcPr>
          <w:p w14:paraId="76E30AE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99个 Vue 页面文件、28个 API 脚本、8个共享 Vue 组件</w:t>
            </w:r>
          </w:p>
        </w:tc>
      </w:tr>
      <w:tr w14:paraId="1E2D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34BCEF7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</w:t>
            </w:r>
          </w:p>
        </w:tc>
        <w:tc>
          <w:tcPr>
            <w:tcW w:w="7258" w:type="dxa"/>
            <w:vAlign w:val="center"/>
          </w:tcPr>
          <w:p w14:paraId="74EDB61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YL_MESDB，SQL Server 2019，兼容级别150</w:t>
            </w:r>
          </w:p>
        </w:tc>
      </w:tr>
      <w:tr w14:paraId="51CF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991509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数据库规模</w:t>
            </w:r>
          </w:p>
        </w:tc>
        <w:tc>
          <w:tcPr>
            <w:tcW w:w="7258" w:type="dxa"/>
            <w:vAlign w:val="center"/>
          </w:tcPr>
          <w:p w14:paraId="6362A82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61张用户表、27个视图、425个存储过程、2个函数</w:t>
            </w:r>
          </w:p>
        </w:tc>
      </w:tr>
      <w:tr w14:paraId="6D9A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2C91EB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数据库容量</w:t>
            </w:r>
          </w:p>
        </w:tc>
        <w:tc>
          <w:tcPr>
            <w:tcW w:w="7258" w:type="dxa"/>
            <w:vAlign w:val="center"/>
          </w:tcPr>
          <w:p w14:paraId="74BEA64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约19.44 GB，其中数据约16.62 GB、日志约2.82 GB</w:t>
            </w:r>
          </w:p>
        </w:tc>
      </w:tr>
      <w:tr w14:paraId="0222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66F3687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统计日期</w:t>
            </w:r>
          </w:p>
        </w:tc>
        <w:tc>
          <w:tcPr>
            <w:tcW w:w="7258" w:type="dxa"/>
            <w:vAlign w:val="center"/>
          </w:tcPr>
          <w:p w14:paraId="39657A9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2026-07-24，只读采集</w:t>
            </w:r>
          </w:p>
        </w:tc>
      </w:tr>
    </w:tbl>
    <w:p w14:paraId="76AA46B3">
      <w:pPr>
        <w:bidi w:val="0"/>
        <w:rPr>
          <w:rFonts w:hint="default"/>
          <w:lang w:eastAsia="zh-CN"/>
        </w:rPr>
      </w:pPr>
    </w:p>
    <w:p w14:paraId="4ACD4ABE">
      <w:pPr>
        <w:pStyle w:val="2"/>
        <w:bidi w:val="0"/>
        <w:rPr>
          <w:rFonts w:hint="eastAsia"/>
          <w:lang w:eastAsia="zh-CN"/>
        </w:rPr>
      </w:pPr>
      <w:bookmarkStart w:id="9" w:name="_Toc21213"/>
      <w:r>
        <w:rPr>
          <w:rFonts w:hint="eastAsia"/>
          <w:lang w:eastAsia="zh-CN"/>
        </w:rPr>
        <w:t>2 系统概述</w:t>
      </w:r>
      <w:bookmarkEnd w:id="9"/>
    </w:p>
    <w:p w14:paraId="38452D8A">
      <w:pPr>
        <w:pStyle w:val="3"/>
        <w:bidi w:val="0"/>
        <w:rPr>
          <w:rFonts w:hint="eastAsia"/>
          <w:lang w:eastAsia="zh-CN"/>
        </w:rPr>
      </w:pPr>
      <w:bookmarkStart w:id="10" w:name="_Toc23763"/>
      <w:r>
        <w:rPr>
          <w:rFonts w:hint="eastAsia"/>
          <w:lang w:eastAsia="zh-CN"/>
        </w:rPr>
        <w:t>2.1 建设目标</w:t>
      </w:r>
      <w:bookmarkEnd w:id="10"/>
    </w:p>
    <w:p w14:paraId="687EC118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MES 连接 SAP 业务订单与车间执行过程，以工艺和计划为主线，将生产任务落实到工位、设备和人员，记录物料流转、生产操作、工时与质量结果，并向管理侧提供异常、齐套、进度、质量和交付视图。</w:t>
      </w:r>
    </w:p>
    <w:p w14:paraId="3E2721E1">
      <w:pPr>
        <w:pStyle w:val="3"/>
        <w:bidi w:val="0"/>
        <w:rPr>
          <w:rFonts w:hint="eastAsia"/>
          <w:lang w:eastAsia="zh-CN"/>
        </w:rPr>
      </w:pPr>
      <w:bookmarkStart w:id="11" w:name="_Toc12918"/>
      <w:r>
        <w:rPr>
          <w:rFonts w:hint="eastAsia"/>
          <w:lang w:eastAsia="zh-CN"/>
        </w:rPr>
        <w:t>2.2 系统边界</w:t>
      </w:r>
      <w:bookmarkEnd w:id="1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4026"/>
        <w:gridCol w:w="3799"/>
      </w:tblGrid>
      <w:tr w14:paraId="362F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814" w:type="dxa"/>
            <w:vAlign w:val="center"/>
          </w:tcPr>
          <w:p w14:paraId="0FC05116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系统/域</w:t>
            </w:r>
          </w:p>
        </w:tc>
        <w:tc>
          <w:tcPr>
            <w:tcW w:w="4026" w:type="dxa"/>
            <w:vAlign w:val="center"/>
          </w:tcPr>
          <w:p w14:paraId="3761D2B8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MES 负责</w:t>
            </w:r>
          </w:p>
        </w:tc>
        <w:tc>
          <w:tcPr>
            <w:tcW w:w="3799" w:type="dxa"/>
            <w:vAlign w:val="center"/>
          </w:tcPr>
          <w:p w14:paraId="1EB2C94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外部系统负责</w:t>
            </w:r>
          </w:p>
        </w:tc>
      </w:tr>
      <w:tr w14:paraId="1FCFF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470C0FE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订单与主数据</w:t>
            </w:r>
          </w:p>
        </w:tc>
        <w:tc>
          <w:tcPr>
            <w:tcW w:w="4026" w:type="dxa"/>
            <w:vAlign w:val="center"/>
          </w:tcPr>
          <w:p w14:paraId="3225EA7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接收并使用订单、物料、BOM、供应商等信息</w:t>
            </w:r>
          </w:p>
        </w:tc>
        <w:tc>
          <w:tcPr>
            <w:tcW w:w="3799" w:type="dxa"/>
            <w:vAlign w:val="center"/>
          </w:tcPr>
          <w:p w14:paraId="0DF90ED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 B1 维护 ERP 主数据、财务和库存权威记录</w:t>
            </w:r>
          </w:p>
        </w:tc>
      </w:tr>
      <w:tr w14:paraId="1B12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3B8A687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工艺与计划</w:t>
            </w:r>
          </w:p>
        </w:tc>
        <w:tc>
          <w:tcPr>
            <w:tcW w:w="4026" w:type="dxa"/>
            <w:vAlign w:val="center"/>
          </w:tcPr>
          <w:p w14:paraId="6F5D90C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标准/生产工艺、排产、任务下发、工位和时间安排</w:t>
            </w:r>
          </w:p>
        </w:tc>
        <w:tc>
          <w:tcPr>
            <w:tcW w:w="3799" w:type="dxa"/>
            <w:vAlign w:val="center"/>
          </w:tcPr>
          <w:p w14:paraId="7227A2C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外部系统提供订单需求和部分资源信息</w:t>
            </w:r>
          </w:p>
        </w:tc>
      </w:tr>
      <w:tr w14:paraId="56C3A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749A559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生产执行</w:t>
            </w:r>
          </w:p>
        </w:tc>
        <w:tc>
          <w:tcPr>
            <w:tcW w:w="4026" w:type="dxa"/>
            <w:vAlign w:val="center"/>
          </w:tcPr>
          <w:p w14:paraId="107A5F0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收料、开工、暂停、报工、送检、人员/设备工时</w:t>
            </w:r>
          </w:p>
        </w:tc>
        <w:tc>
          <w:tcPr>
            <w:tcW w:w="3799" w:type="dxa"/>
            <w:vAlign w:val="center"/>
          </w:tcPr>
          <w:p w14:paraId="41D7393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设备侧提供状态或执行反馈</w:t>
            </w:r>
          </w:p>
        </w:tc>
      </w:tr>
      <w:tr w14:paraId="0138C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71F25D4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</w:t>
            </w:r>
          </w:p>
        </w:tc>
        <w:tc>
          <w:tcPr>
            <w:tcW w:w="4026" w:type="dxa"/>
            <w:vAlign w:val="center"/>
          </w:tcPr>
          <w:p w14:paraId="6BE06AF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检验任务、标准、实测值、判定及不合格处置</w:t>
            </w:r>
          </w:p>
        </w:tc>
        <w:tc>
          <w:tcPr>
            <w:tcW w:w="3799" w:type="dxa"/>
            <w:vAlign w:val="center"/>
          </w:tcPr>
          <w:p w14:paraId="0B26838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SAP/库存侧承接入库、退货等结果</w:t>
            </w:r>
          </w:p>
        </w:tc>
      </w:tr>
      <w:tr w14:paraId="4B12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08F9CB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物流与交付</w:t>
            </w:r>
          </w:p>
        </w:tc>
        <w:tc>
          <w:tcPr>
            <w:tcW w:w="4026" w:type="dxa"/>
            <w:vAlign w:val="center"/>
          </w:tcPr>
          <w:p w14:paraId="22C28BD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拣配、AGV任务、发货通知及订单状态汇总</w:t>
            </w:r>
          </w:p>
        </w:tc>
        <w:tc>
          <w:tcPr>
            <w:tcW w:w="3799" w:type="dxa"/>
            <w:vAlign w:val="center"/>
          </w:tcPr>
          <w:p w14:paraId="1A67E89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SAP/仓储侧完成库存和交付凭证</w:t>
            </w:r>
          </w:p>
        </w:tc>
      </w:tr>
    </w:tbl>
    <w:p w14:paraId="51230EE3">
      <w:pPr>
        <w:bidi w:val="0"/>
        <w:rPr>
          <w:rFonts w:hint="default"/>
          <w:lang w:eastAsia="zh-CN"/>
        </w:rPr>
      </w:pPr>
    </w:p>
    <w:p w14:paraId="2C39DE6B">
      <w:pPr>
        <w:pStyle w:val="3"/>
        <w:bidi w:val="0"/>
        <w:rPr>
          <w:rFonts w:hint="eastAsia"/>
          <w:lang w:eastAsia="zh-CN"/>
        </w:rPr>
      </w:pPr>
      <w:bookmarkStart w:id="12" w:name="_Toc6318"/>
      <w:r>
        <w:rPr>
          <w:rFonts w:hint="eastAsia"/>
          <w:lang w:eastAsia="zh-CN"/>
        </w:rPr>
        <w:t>2.3 功能模块</w:t>
      </w:r>
      <w:bookmarkEnd w:id="12"/>
    </w:p>
    <w:tbl>
      <w:tblPr>
        <w:tblStyle w:val="10"/>
        <w:tblW w:w="9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74"/>
        <w:gridCol w:w="2722"/>
        <w:gridCol w:w="2778"/>
        <w:gridCol w:w="2722"/>
      </w:tblGrid>
      <w:tr w14:paraId="490D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474" w:type="dxa"/>
            <w:vAlign w:val="center"/>
          </w:tcPr>
          <w:p w14:paraId="027029F7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模块</w:t>
            </w:r>
          </w:p>
        </w:tc>
        <w:tc>
          <w:tcPr>
            <w:tcW w:w="2722" w:type="dxa"/>
            <w:vAlign w:val="center"/>
          </w:tcPr>
          <w:p w14:paraId="4DE3A2A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2778" w:type="dxa"/>
            <w:vAlign w:val="center"/>
          </w:tcPr>
          <w:p w14:paraId="75ABFE97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2722" w:type="dxa"/>
            <w:vAlign w:val="center"/>
          </w:tcPr>
          <w:p w14:paraId="596D763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主要输出</w:t>
            </w:r>
          </w:p>
        </w:tc>
      </w:tr>
      <w:tr w14:paraId="1163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61ABB59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系统管理</w:t>
            </w:r>
          </w:p>
        </w:tc>
        <w:tc>
          <w:tcPr>
            <w:tcW w:w="2722" w:type="dxa"/>
            <w:vAlign w:val="center"/>
          </w:tcPr>
          <w:p w14:paraId="53B8971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账号、角色、菜单、工位及操作审计</w:t>
            </w:r>
          </w:p>
        </w:tc>
        <w:tc>
          <w:tcPr>
            <w:tcW w:w="2778" w:type="dxa"/>
            <w:vAlign w:val="center"/>
          </w:tcPr>
          <w:p w14:paraId="6A62E29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人员/角色/菜单基础数据</w:t>
            </w:r>
          </w:p>
        </w:tc>
        <w:tc>
          <w:tcPr>
            <w:tcW w:w="2722" w:type="dxa"/>
            <w:vAlign w:val="center"/>
          </w:tcPr>
          <w:p w14:paraId="364DD6F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全部业务模块的登录与权限基础</w:t>
            </w:r>
          </w:p>
        </w:tc>
      </w:tr>
      <w:tr w14:paraId="046F9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6488AFD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设备管理</w:t>
            </w:r>
          </w:p>
        </w:tc>
        <w:tc>
          <w:tcPr>
            <w:tcW w:w="2722" w:type="dxa"/>
            <w:vAlign w:val="center"/>
          </w:tcPr>
          <w:p w14:paraId="68C6854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维护设备台账并查看实时与历史数据</w:t>
            </w:r>
          </w:p>
        </w:tc>
        <w:tc>
          <w:tcPr>
            <w:tcW w:w="2778" w:type="dxa"/>
            <w:vAlign w:val="center"/>
          </w:tcPr>
          <w:p w14:paraId="4EB5E2C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设备、工位、采集变量</w:t>
            </w:r>
          </w:p>
        </w:tc>
        <w:tc>
          <w:tcPr>
            <w:tcW w:w="2722" w:type="dxa"/>
            <w:vAlign w:val="center"/>
          </w:tcPr>
          <w:p w14:paraId="75FA323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生产执行、设备看板和设备分析</w:t>
            </w:r>
          </w:p>
        </w:tc>
      </w:tr>
      <w:tr w14:paraId="1A96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179A8FC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研发管理</w:t>
            </w:r>
          </w:p>
        </w:tc>
        <w:tc>
          <w:tcPr>
            <w:tcW w:w="2722" w:type="dxa"/>
            <w:vAlign w:val="center"/>
          </w:tcPr>
          <w:p w14:paraId="2B96E79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设计任务分派、报工、校验与财务工时</w:t>
            </w:r>
          </w:p>
        </w:tc>
        <w:tc>
          <w:tcPr>
            <w:tcW w:w="2778" w:type="dxa"/>
            <w:vAlign w:val="center"/>
          </w:tcPr>
          <w:p w14:paraId="08A619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研发项目、任务、人员、报工记录</w:t>
            </w:r>
          </w:p>
        </w:tc>
        <w:tc>
          <w:tcPr>
            <w:tcW w:w="2722" w:type="dxa"/>
            <w:vAlign w:val="center"/>
          </w:tcPr>
          <w:p w14:paraId="67B0E1A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工时统计、成本核算和项目复盘</w:t>
            </w:r>
          </w:p>
        </w:tc>
      </w:tr>
      <w:tr w14:paraId="5E83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55300D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工艺管理</w:t>
            </w:r>
          </w:p>
        </w:tc>
        <w:tc>
          <w:tcPr>
            <w:tcW w:w="2722" w:type="dxa"/>
            <w:vAlign w:val="center"/>
          </w:tcPr>
          <w:p w14:paraId="7A21C35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维护工序、标准工艺、订单工艺及图纸</w:t>
            </w:r>
          </w:p>
        </w:tc>
        <w:tc>
          <w:tcPr>
            <w:tcW w:w="2778" w:type="dxa"/>
            <w:vAlign w:val="center"/>
          </w:tcPr>
          <w:p w14:paraId="08942C5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物料、工序、标准工艺、订单工艺、图纸</w:t>
            </w:r>
          </w:p>
        </w:tc>
        <w:tc>
          <w:tcPr>
            <w:tcW w:w="2722" w:type="dxa"/>
            <w:vAlign w:val="center"/>
          </w:tcPr>
          <w:p w14:paraId="116009F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计划排产、任务下发、生产执行和检验标准</w:t>
            </w:r>
          </w:p>
        </w:tc>
      </w:tr>
      <w:tr w14:paraId="749AC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2FCC3CA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计划排产</w:t>
            </w:r>
          </w:p>
        </w:tc>
        <w:tc>
          <w:tcPr>
            <w:tcW w:w="2722" w:type="dxa"/>
            <w:vAlign w:val="center"/>
          </w:tcPr>
          <w:p w14:paraId="619ED3D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将订单工艺分配到工位、人员和时间</w:t>
            </w:r>
          </w:p>
        </w:tc>
        <w:tc>
          <w:tcPr>
            <w:tcW w:w="2778" w:type="dxa"/>
            <w:vAlign w:val="center"/>
          </w:tcPr>
          <w:p w14:paraId="629B5B7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生产订单、工艺路线、资源与日历</w:t>
            </w:r>
          </w:p>
        </w:tc>
        <w:tc>
          <w:tcPr>
            <w:tcW w:w="2722" w:type="dxa"/>
            <w:vAlign w:val="center"/>
          </w:tcPr>
          <w:p w14:paraId="61FC06E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生产任务、齐套跟踪、工位负荷和异常提醒</w:t>
            </w:r>
          </w:p>
        </w:tc>
      </w:tr>
      <w:tr w14:paraId="6ED44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34A64C7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生产管理</w:t>
            </w:r>
          </w:p>
        </w:tc>
        <w:tc>
          <w:tcPr>
            <w:tcW w:w="2722" w:type="dxa"/>
            <w:vAlign w:val="center"/>
          </w:tcPr>
          <w:p w14:paraId="4B0E641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执行收料、开工、暂停、报工、送检和工时闭环</w:t>
            </w:r>
          </w:p>
        </w:tc>
        <w:tc>
          <w:tcPr>
            <w:tcW w:w="2778" w:type="dxa"/>
            <w:vAlign w:val="center"/>
          </w:tcPr>
          <w:p w14:paraId="5B690EB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工序任务、人员、设备、物料和操作记录</w:t>
            </w:r>
          </w:p>
        </w:tc>
        <w:tc>
          <w:tcPr>
            <w:tcW w:w="2722" w:type="dxa"/>
            <w:vAlign w:val="center"/>
          </w:tcPr>
          <w:p w14:paraId="39E7EC5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质量检验、完工关闭、工时报表和交付状态</w:t>
            </w:r>
          </w:p>
        </w:tc>
      </w:tr>
      <w:tr w14:paraId="65E4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3057E36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异常提醒</w:t>
            </w:r>
          </w:p>
        </w:tc>
        <w:tc>
          <w:tcPr>
            <w:tcW w:w="2722" w:type="dxa"/>
            <w:vAlign w:val="center"/>
          </w:tcPr>
          <w:p w14:paraId="0C9A048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识别未及时开工、未及时送检和加急事项</w:t>
            </w:r>
          </w:p>
        </w:tc>
        <w:tc>
          <w:tcPr>
            <w:tcW w:w="2778" w:type="dxa"/>
            <w:vAlign w:val="center"/>
          </w:tcPr>
          <w:p w14:paraId="4B70B68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计划时间、实际时间、任务状态</w:t>
            </w:r>
          </w:p>
        </w:tc>
        <w:tc>
          <w:tcPr>
            <w:tcW w:w="2722" w:type="dxa"/>
            <w:vAlign w:val="center"/>
          </w:tcPr>
          <w:p w14:paraId="4C28501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计划调整、现场督办和管理看板</w:t>
            </w:r>
          </w:p>
        </w:tc>
      </w:tr>
      <w:tr w14:paraId="7B74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7CE8989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质量管理</w:t>
            </w:r>
          </w:p>
        </w:tc>
        <w:tc>
          <w:tcPr>
            <w:tcW w:w="2722" w:type="dxa"/>
            <w:vAlign w:val="center"/>
          </w:tcPr>
          <w:p w14:paraId="286276C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执行质量标准、检验、判定与不合格处置</w:t>
            </w:r>
          </w:p>
        </w:tc>
        <w:tc>
          <w:tcPr>
            <w:tcW w:w="2778" w:type="dxa"/>
            <w:vAlign w:val="center"/>
          </w:tcPr>
          <w:p w14:paraId="79660B1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检验任务、标准、实测值、量具和处置记录</w:t>
            </w:r>
          </w:p>
        </w:tc>
        <w:tc>
          <w:tcPr>
            <w:tcW w:w="2722" w:type="dxa"/>
            <w:vAlign w:val="center"/>
          </w:tcPr>
          <w:p w14:paraId="73B1E6A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任务流转、入库、返工/让步/报废和质量统计</w:t>
            </w:r>
          </w:p>
        </w:tc>
      </w:tr>
      <w:tr w14:paraId="5B9B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474" w:type="dxa"/>
            <w:vAlign w:val="center"/>
          </w:tcPr>
          <w:p w14:paraId="0F2955E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销售订单管理</w:t>
            </w:r>
          </w:p>
        </w:tc>
        <w:tc>
          <w:tcPr>
            <w:tcW w:w="2722" w:type="dxa"/>
            <w:vAlign w:val="center"/>
          </w:tcPr>
          <w:p w14:paraId="613D0C3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汇总订单从计划到交付的全流程状态</w:t>
            </w:r>
          </w:p>
        </w:tc>
        <w:tc>
          <w:tcPr>
            <w:tcW w:w="2778" w:type="dxa"/>
            <w:vAlign w:val="center"/>
          </w:tcPr>
          <w:p w14:paraId="54F4958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SAP 销售订单与 MES 生产/质量/交付数据</w:t>
            </w:r>
          </w:p>
        </w:tc>
        <w:tc>
          <w:tcPr>
            <w:tcW w:w="2722" w:type="dxa"/>
            <w:vAlign w:val="center"/>
          </w:tcPr>
          <w:p w14:paraId="4F77D85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交付协调、客户响应和经营分析</w:t>
            </w:r>
          </w:p>
        </w:tc>
      </w:tr>
    </w:tbl>
    <w:p w14:paraId="5AE7E565">
      <w:pPr>
        <w:bidi w:val="0"/>
        <w:rPr>
          <w:rFonts w:hint="default"/>
          <w:lang w:eastAsia="zh-CN"/>
        </w:rPr>
      </w:pPr>
    </w:p>
    <w:p w14:paraId="43AA8985">
      <w:pPr>
        <w:pStyle w:val="3"/>
        <w:bidi w:val="0"/>
        <w:rPr>
          <w:rFonts w:hint="eastAsia"/>
          <w:lang w:eastAsia="zh-CN"/>
        </w:rPr>
      </w:pPr>
      <w:bookmarkStart w:id="13" w:name="_Toc11150"/>
      <w:r>
        <w:rPr>
          <w:rFonts w:hint="eastAsia"/>
          <w:lang w:eastAsia="zh-CN"/>
        </w:rPr>
        <w:t>2.4 核心业务主线</w:t>
      </w:r>
      <w:bookmarkEnd w:id="13"/>
    </w:p>
    <w:p w14:paraId="3B8CB8E6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868670" cy="2532380"/>
            <wp:effectExtent l="0" t="0" r="11430" b="7620"/>
            <wp:docPr id="1" name="图片 1" descr="business-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usiness-flo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B58F6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图2-1 MES 核心业务闭环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570"/>
      </w:tblGrid>
      <w:tr w14:paraId="0007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70" w:type="dxa"/>
            <w:shd w:val="clear" w:color="auto" w:fill="FFF2D9"/>
          </w:tcPr>
          <w:p w14:paraId="0670B0E3">
            <w:pPr>
              <w:bidi w:val="0"/>
              <w:spacing w:after="0"/>
              <w:jc w:val="center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状态控制原则：任何会改变订单、工艺、任务、工时、检验或库存状态的操作，都必须在服务端再次校验当前状态和数量边界；前端按钮可见性不能代替业务校验。</w:t>
            </w:r>
          </w:p>
        </w:tc>
      </w:tr>
    </w:tbl>
    <w:p w14:paraId="6EF10F6E">
      <w:pPr>
        <w:bidi w:val="0"/>
        <w:spacing w:after="160"/>
        <w:ind w:firstLine="0"/>
        <w:jc w:val="center"/>
        <w:rPr>
          <w:rFonts w:hint="default" w:cs="Arial"/>
          <w:b w:val="0"/>
          <w:color w:val="000000"/>
          <w:sz w:val="18"/>
          <w:lang w:eastAsia="zh-CN"/>
        </w:rPr>
      </w:pPr>
    </w:p>
    <w:p w14:paraId="2FB8CC56">
      <w:pPr>
        <w:pStyle w:val="2"/>
        <w:bidi w:val="0"/>
        <w:rPr>
          <w:rFonts w:hint="eastAsia"/>
          <w:lang w:eastAsia="zh-CN"/>
        </w:rPr>
      </w:pPr>
      <w:bookmarkStart w:id="14" w:name="_Toc29058"/>
      <w:r>
        <w:rPr>
          <w:rFonts w:hint="eastAsia"/>
          <w:lang w:eastAsia="zh-CN"/>
        </w:rPr>
        <w:t>3 总体技术架构</w:t>
      </w:r>
      <w:bookmarkEnd w:id="14"/>
    </w:p>
    <w:p w14:paraId="3C0AFEBF">
      <w:pPr>
        <w:pStyle w:val="3"/>
        <w:bidi w:val="0"/>
        <w:rPr>
          <w:rFonts w:hint="eastAsia"/>
          <w:lang w:eastAsia="zh-CN"/>
        </w:rPr>
      </w:pPr>
      <w:bookmarkStart w:id="15" w:name="_Toc30305"/>
      <w:r>
        <w:rPr>
          <w:rFonts w:hint="eastAsia"/>
          <w:lang w:eastAsia="zh-CN"/>
        </w:rPr>
        <w:t>3.1 逻辑架构</w:t>
      </w:r>
      <w:bookmarkEnd w:id="15"/>
    </w:p>
    <w:p w14:paraId="131E7E46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868670" cy="3129915"/>
            <wp:effectExtent l="0" t="0" r="11430" b="6985"/>
            <wp:docPr id="2" name="图片 2" descr="logical-archit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ical-architect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6521C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图3-1 系统逻辑架构</w:t>
      </w:r>
    </w:p>
    <w:p w14:paraId="732856FB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浏览器加载 Vue 单页应用。常规 MES 请求经统一 Axios 实例发送到 MESCommonBase.ashx；前端通过统一请求载荷指定执行类型、过程名称、参数、分页和操作上下文。SAP B1、TM、文件、AGV和设备数据通过独立接口访问。</w:t>
      </w:r>
    </w:p>
    <w:p w14:paraId="5F146A30">
      <w:pPr>
        <w:pStyle w:val="3"/>
        <w:bidi w:val="0"/>
        <w:rPr>
          <w:rFonts w:hint="eastAsia"/>
          <w:lang w:eastAsia="zh-CN"/>
        </w:rPr>
      </w:pPr>
      <w:bookmarkStart w:id="16" w:name="_Toc11332"/>
      <w:r>
        <w:rPr>
          <w:rFonts w:hint="eastAsia"/>
          <w:lang w:eastAsia="zh-CN"/>
        </w:rPr>
        <w:t>3.2 分层职责</w:t>
      </w:r>
      <w:bookmarkEnd w:id="16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4082"/>
        <w:gridCol w:w="3856"/>
      </w:tblGrid>
      <w:tr w14:paraId="357B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01" w:type="dxa"/>
            <w:vAlign w:val="center"/>
          </w:tcPr>
          <w:p w14:paraId="53D1757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层次</w:t>
            </w:r>
          </w:p>
        </w:tc>
        <w:tc>
          <w:tcPr>
            <w:tcW w:w="4082" w:type="dxa"/>
            <w:vAlign w:val="center"/>
          </w:tcPr>
          <w:p w14:paraId="12B1BE9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职责</w:t>
            </w:r>
          </w:p>
        </w:tc>
        <w:tc>
          <w:tcPr>
            <w:tcW w:w="3856" w:type="dxa"/>
            <w:vAlign w:val="center"/>
          </w:tcPr>
          <w:p w14:paraId="6F85B7EE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主要实现</w:t>
            </w:r>
          </w:p>
        </w:tc>
      </w:tr>
      <w:tr w14:paraId="7ED6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3219D81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表现层</w:t>
            </w:r>
          </w:p>
        </w:tc>
        <w:tc>
          <w:tcPr>
            <w:tcW w:w="4082" w:type="dxa"/>
            <w:vAlign w:val="center"/>
          </w:tcPr>
          <w:p w14:paraId="5F4A188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查询、表格、表单、弹窗、状态提示和报表</w:t>
            </w:r>
          </w:p>
        </w:tc>
        <w:tc>
          <w:tcPr>
            <w:tcW w:w="3856" w:type="dxa"/>
            <w:vAlign w:val="center"/>
          </w:tcPr>
          <w:p w14:paraId="4BDA18B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Vue / Element UI / ECharts / FullCalendar</w:t>
            </w:r>
          </w:p>
        </w:tc>
      </w:tr>
      <w:tr w14:paraId="065D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149388B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前端业务层</w:t>
            </w:r>
          </w:p>
        </w:tc>
        <w:tc>
          <w:tcPr>
            <w:tcW w:w="4082" w:type="dxa"/>
            <w:vAlign w:val="center"/>
          </w:tcPr>
          <w:p w14:paraId="78623CE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页面状态、输入校验、交互编排、路由与权限菜单</w:t>
            </w:r>
          </w:p>
        </w:tc>
        <w:tc>
          <w:tcPr>
            <w:tcW w:w="3856" w:type="dxa"/>
            <w:vAlign w:val="center"/>
          </w:tcPr>
          <w:p w14:paraId="7AD00F3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views、store、router、utils、api</w:t>
            </w:r>
          </w:p>
        </w:tc>
      </w:tr>
      <w:tr w14:paraId="10636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5A24402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应用服务层</w:t>
            </w:r>
          </w:p>
        </w:tc>
        <w:tc>
          <w:tcPr>
            <w:tcW w:w="4082" w:type="dxa"/>
            <w:vAlign w:val="center"/>
          </w:tcPr>
          <w:p w14:paraId="0DB8927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身份上下文、请求解析、过程调用、上传下载、外部系统代理</w:t>
            </w:r>
          </w:p>
        </w:tc>
        <w:tc>
          <w:tcPr>
            <w:tcW w:w="3856" w:type="dxa"/>
            <w:vAlign w:val="center"/>
          </w:tcPr>
          <w:p w14:paraId="6DBFCB7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MESCommonBase.ashx、B1/TM代理、文件服务</w:t>
            </w:r>
          </w:p>
        </w:tc>
      </w:tr>
      <w:tr w14:paraId="2DF6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7F95AAD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数据逻辑层</w:t>
            </w:r>
          </w:p>
        </w:tc>
        <w:tc>
          <w:tcPr>
            <w:tcW w:w="4082" w:type="dxa"/>
            <w:vAlign w:val="center"/>
          </w:tcPr>
          <w:p w14:paraId="53BE337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业务校验、状态流转、事务、查询和聚合</w:t>
            </w:r>
          </w:p>
        </w:tc>
        <w:tc>
          <w:tcPr>
            <w:tcW w:w="3856" w:type="dxa"/>
            <w:vAlign w:val="center"/>
          </w:tcPr>
          <w:p w14:paraId="01A47F3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SQL Server 存储过程、视图、函数</w:t>
            </w:r>
          </w:p>
        </w:tc>
      </w:tr>
      <w:tr w14:paraId="0332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37C7062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集成层</w:t>
            </w:r>
          </w:p>
        </w:tc>
        <w:tc>
          <w:tcPr>
            <w:tcW w:w="4082" w:type="dxa"/>
            <w:vAlign w:val="center"/>
          </w:tcPr>
          <w:p w14:paraId="7B3B6C6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SAP、TM、AGV、设备/PLC、文件与质量数据交换</w:t>
            </w:r>
          </w:p>
        </w:tc>
        <w:tc>
          <w:tcPr>
            <w:tcW w:w="3856" w:type="dxa"/>
            <w:vAlign w:val="center"/>
          </w:tcPr>
          <w:p w14:paraId="37D201E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HTTPS/JSON、Service Layer、MQTT及专用接口</w:t>
            </w:r>
          </w:p>
        </w:tc>
      </w:tr>
    </w:tbl>
    <w:p w14:paraId="6A69320E">
      <w:pPr>
        <w:bidi w:val="0"/>
        <w:rPr>
          <w:rFonts w:hint="default"/>
          <w:lang w:eastAsia="zh-CN"/>
        </w:rPr>
      </w:pPr>
    </w:p>
    <w:p w14:paraId="169CD7C5">
      <w:pPr>
        <w:pStyle w:val="3"/>
        <w:bidi w:val="0"/>
        <w:rPr>
          <w:rFonts w:hint="eastAsia"/>
          <w:lang w:eastAsia="zh-CN"/>
        </w:rPr>
      </w:pPr>
      <w:bookmarkStart w:id="17" w:name="_Toc8969"/>
      <w:r>
        <w:rPr>
          <w:rFonts w:hint="eastAsia"/>
          <w:lang w:eastAsia="zh-CN"/>
        </w:rPr>
        <w:t>3.3 架构约束</w:t>
      </w:r>
      <w:bookmarkEnd w:id="17"/>
    </w:p>
    <w:p w14:paraId="2A0A1A8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正式环境页面只能通过受控服务访问业务数据，不允许浏览器直连数据库。</w:t>
      </w:r>
    </w:p>
    <w:p w14:paraId="71B2CF36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写操作必须在数据库事务或等效原子边界内完成，并返回明确的成功、失败和业务原因。</w:t>
      </w:r>
    </w:p>
    <w:p w14:paraId="722C21B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跨系统操作应定义幂等键或重复提交校验，避免任务、报工、检验和库存记录重复。</w:t>
      </w:r>
    </w:p>
    <w:p w14:paraId="5B0A72B4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前端不得持久化数据库密码、SAP密码、服务私钥或其他长期凭据。</w:t>
      </w:r>
    </w:p>
    <w:p w14:paraId="26E0C66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所有外部接口失败都应保留可定位的业务编号、请求时间和错误摘要。</w:t>
      </w:r>
    </w:p>
    <w:p w14:paraId="2D6FE17C">
      <w:pPr>
        <w:pStyle w:val="2"/>
        <w:bidi w:val="0"/>
        <w:rPr>
          <w:rFonts w:hint="eastAsia"/>
          <w:lang w:eastAsia="zh-CN"/>
        </w:rPr>
      </w:pPr>
      <w:bookmarkStart w:id="18" w:name="_Toc927"/>
      <w:r>
        <w:rPr>
          <w:rFonts w:hint="eastAsia"/>
          <w:lang w:eastAsia="zh-CN"/>
        </w:rPr>
        <w:t>4 技术栈与代码结构</w:t>
      </w:r>
      <w:bookmarkEnd w:id="18"/>
    </w:p>
    <w:p w14:paraId="42D8F1F1">
      <w:pPr>
        <w:pStyle w:val="3"/>
        <w:bidi w:val="0"/>
        <w:rPr>
          <w:rFonts w:hint="eastAsia"/>
          <w:lang w:eastAsia="zh-CN"/>
        </w:rPr>
      </w:pPr>
      <w:bookmarkStart w:id="19" w:name="_Toc10393"/>
      <w:r>
        <w:rPr>
          <w:rFonts w:hint="eastAsia"/>
          <w:lang w:eastAsia="zh-CN"/>
        </w:rPr>
        <w:t>4.1 技术栈基线</w:t>
      </w:r>
      <w:bookmarkEnd w:id="19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2268"/>
        <w:gridCol w:w="1701"/>
        <w:gridCol w:w="3969"/>
      </w:tblGrid>
      <w:tr w14:paraId="01DE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01" w:type="dxa"/>
            <w:vAlign w:val="center"/>
          </w:tcPr>
          <w:p w14:paraId="60C491FF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类别</w:t>
            </w:r>
          </w:p>
        </w:tc>
        <w:tc>
          <w:tcPr>
            <w:tcW w:w="2268" w:type="dxa"/>
            <w:vAlign w:val="center"/>
          </w:tcPr>
          <w:p w14:paraId="58E16EB7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</w:t>
            </w:r>
          </w:p>
        </w:tc>
        <w:tc>
          <w:tcPr>
            <w:tcW w:w="1701" w:type="dxa"/>
            <w:vAlign w:val="center"/>
          </w:tcPr>
          <w:p w14:paraId="2841BD8A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版本</w:t>
            </w:r>
          </w:p>
        </w:tc>
        <w:tc>
          <w:tcPr>
            <w:tcW w:w="3969" w:type="dxa"/>
            <w:vAlign w:val="center"/>
          </w:tcPr>
          <w:p w14:paraId="19CAD89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用途</w:t>
            </w:r>
          </w:p>
        </w:tc>
      </w:tr>
      <w:tr w14:paraId="3FA4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2550A88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前端框架</w:t>
            </w:r>
          </w:p>
        </w:tc>
        <w:tc>
          <w:tcPr>
            <w:tcW w:w="2268" w:type="dxa"/>
            <w:vAlign w:val="center"/>
          </w:tcPr>
          <w:p w14:paraId="182A6FA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Vue.js</w:t>
            </w:r>
          </w:p>
        </w:tc>
        <w:tc>
          <w:tcPr>
            <w:tcW w:w="1701" w:type="dxa"/>
            <w:vAlign w:val="center"/>
          </w:tcPr>
          <w:p w14:paraId="08286C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2.7.16</w:t>
            </w:r>
          </w:p>
        </w:tc>
        <w:tc>
          <w:tcPr>
            <w:tcW w:w="3969" w:type="dxa"/>
            <w:vAlign w:val="center"/>
          </w:tcPr>
          <w:p w14:paraId="0D85F2E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单页应用与组件体系</w:t>
            </w:r>
          </w:p>
        </w:tc>
      </w:tr>
      <w:tr w14:paraId="48C8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8A8126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UI 组件</w:t>
            </w:r>
          </w:p>
        </w:tc>
        <w:tc>
          <w:tcPr>
            <w:tcW w:w="2268" w:type="dxa"/>
            <w:vAlign w:val="center"/>
          </w:tcPr>
          <w:p w14:paraId="690F88D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Element UI</w:t>
            </w:r>
          </w:p>
        </w:tc>
        <w:tc>
          <w:tcPr>
            <w:tcW w:w="1701" w:type="dxa"/>
            <w:vAlign w:val="center"/>
          </w:tcPr>
          <w:p w14:paraId="25C3F0D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2.15.14</w:t>
            </w:r>
          </w:p>
        </w:tc>
        <w:tc>
          <w:tcPr>
            <w:tcW w:w="3969" w:type="dxa"/>
            <w:vAlign w:val="center"/>
          </w:tcPr>
          <w:p w14:paraId="5B9D84E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表单、表格、弹窗、分页</w:t>
            </w:r>
          </w:p>
        </w:tc>
      </w:tr>
      <w:tr w14:paraId="68D8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772D5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路由</w:t>
            </w:r>
          </w:p>
        </w:tc>
        <w:tc>
          <w:tcPr>
            <w:tcW w:w="2268" w:type="dxa"/>
            <w:vAlign w:val="center"/>
          </w:tcPr>
          <w:p w14:paraId="14A5394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Vue Router</w:t>
            </w:r>
          </w:p>
        </w:tc>
        <w:tc>
          <w:tcPr>
            <w:tcW w:w="1701" w:type="dxa"/>
            <w:vAlign w:val="center"/>
          </w:tcPr>
          <w:p w14:paraId="0441ED4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3.6.5</w:t>
            </w:r>
          </w:p>
        </w:tc>
        <w:tc>
          <w:tcPr>
            <w:tcW w:w="3969" w:type="dxa"/>
            <w:vAlign w:val="center"/>
          </w:tcPr>
          <w:p w14:paraId="093CFA9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动态权限路由</w:t>
            </w:r>
          </w:p>
        </w:tc>
      </w:tr>
      <w:tr w14:paraId="30E8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60AC1BC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状态管理</w:t>
            </w:r>
          </w:p>
        </w:tc>
        <w:tc>
          <w:tcPr>
            <w:tcW w:w="2268" w:type="dxa"/>
            <w:vAlign w:val="center"/>
          </w:tcPr>
          <w:p w14:paraId="5292047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Vuex</w:t>
            </w:r>
          </w:p>
        </w:tc>
        <w:tc>
          <w:tcPr>
            <w:tcW w:w="1701" w:type="dxa"/>
            <w:vAlign w:val="center"/>
          </w:tcPr>
          <w:p w14:paraId="1989A3F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3.6.2</w:t>
            </w:r>
          </w:p>
        </w:tc>
        <w:tc>
          <w:tcPr>
            <w:tcW w:w="3969" w:type="dxa"/>
            <w:vAlign w:val="center"/>
          </w:tcPr>
          <w:p w14:paraId="380DFA8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用户、角色、标签页等全局状态</w:t>
            </w:r>
          </w:p>
        </w:tc>
      </w:tr>
      <w:tr w14:paraId="32F2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327973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HTTP</w:t>
            </w:r>
          </w:p>
        </w:tc>
        <w:tc>
          <w:tcPr>
            <w:tcW w:w="2268" w:type="dxa"/>
            <w:vAlign w:val="center"/>
          </w:tcPr>
          <w:p w14:paraId="70FCDC6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Axios</w:t>
            </w:r>
          </w:p>
        </w:tc>
        <w:tc>
          <w:tcPr>
            <w:tcW w:w="1701" w:type="dxa"/>
            <w:vAlign w:val="center"/>
          </w:tcPr>
          <w:p w14:paraId="6D60D38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0.21.4</w:t>
            </w:r>
          </w:p>
        </w:tc>
        <w:tc>
          <w:tcPr>
            <w:tcW w:w="3969" w:type="dxa"/>
            <w:vAlign w:val="center"/>
          </w:tcPr>
          <w:p w14:paraId="0648E10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MES、SAP B1、TM 与其他服务调用</w:t>
            </w:r>
          </w:p>
        </w:tc>
      </w:tr>
      <w:tr w14:paraId="7629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45B6288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图表</w:t>
            </w:r>
          </w:p>
        </w:tc>
        <w:tc>
          <w:tcPr>
            <w:tcW w:w="2268" w:type="dxa"/>
            <w:vAlign w:val="center"/>
          </w:tcPr>
          <w:p w14:paraId="7F569CE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ECharts</w:t>
            </w:r>
          </w:p>
        </w:tc>
        <w:tc>
          <w:tcPr>
            <w:tcW w:w="1701" w:type="dxa"/>
            <w:vAlign w:val="center"/>
          </w:tcPr>
          <w:p w14:paraId="3C712C6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5.4.3</w:t>
            </w:r>
          </w:p>
        </w:tc>
        <w:tc>
          <w:tcPr>
            <w:tcW w:w="3969" w:type="dxa"/>
            <w:vAlign w:val="center"/>
          </w:tcPr>
          <w:p w14:paraId="1A793FD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看板和统计图</w:t>
            </w:r>
          </w:p>
        </w:tc>
      </w:tr>
      <w:tr w14:paraId="3D0C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260C480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日历排程</w:t>
            </w:r>
          </w:p>
        </w:tc>
        <w:tc>
          <w:tcPr>
            <w:tcW w:w="2268" w:type="dxa"/>
            <w:vAlign w:val="center"/>
          </w:tcPr>
          <w:p w14:paraId="5F39B1A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FullCalendar</w:t>
            </w:r>
          </w:p>
        </w:tc>
        <w:tc>
          <w:tcPr>
            <w:tcW w:w="1701" w:type="dxa"/>
            <w:vAlign w:val="center"/>
          </w:tcPr>
          <w:p w14:paraId="7865FB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6.1.x</w:t>
            </w:r>
          </w:p>
        </w:tc>
        <w:tc>
          <w:tcPr>
            <w:tcW w:w="3969" w:type="dxa"/>
            <w:vAlign w:val="center"/>
          </w:tcPr>
          <w:p w14:paraId="0876053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计划日历与排产交互</w:t>
            </w:r>
          </w:p>
        </w:tc>
      </w:tr>
      <w:tr w14:paraId="22E4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36FB118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设备通信</w:t>
            </w:r>
          </w:p>
        </w:tc>
        <w:tc>
          <w:tcPr>
            <w:tcW w:w="2268" w:type="dxa"/>
            <w:vAlign w:val="center"/>
          </w:tcPr>
          <w:p w14:paraId="75919F6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MQTT.js</w:t>
            </w:r>
          </w:p>
        </w:tc>
        <w:tc>
          <w:tcPr>
            <w:tcW w:w="1701" w:type="dxa"/>
            <w:vAlign w:val="center"/>
          </w:tcPr>
          <w:p w14:paraId="03CFC79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4.3.7</w:t>
            </w:r>
          </w:p>
        </w:tc>
        <w:tc>
          <w:tcPr>
            <w:tcW w:w="3969" w:type="dxa"/>
            <w:vAlign w:val="center"/>
          </w:tcPr>
          <w:p w14:paraId="373D906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设备与实时数据通信</w:t>
            </w:r>
          </w:p>
        </w:tc>
      </w:tr>
      <w:tr w14:paraId="4727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7A20E08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文档与报表</w:t>
            </w:r>
          </w:p>
        </w:tc>
        <w:tc>
          <w:tcPr>
            <w:tcW w:w="2268" w:type="dxa"/>
            <w:vAlign w:val="center"/>
          </w:tcPr>
          <w:p w14:paraId="049735C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xlsx / jsPDF / pdfjs / docxtemplater</w:t>
            </w:r>
          </w:p>
        </w:tc>
        <w:tc>
          <w:tcPr>
            <w:tcW w:w="1701" w:type="dxa"/>
            <w:vAlign w:val="center"/>
          </w:tcPr>
          <w:p w14:paraId="0F00FC8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见 package.json</w:t>
            </w:r>
          </w:p>
        </w:tc>
        <w:tc>
          <w:tcPr>
            <w:tcW w:w="3969" w:type="dxa"/>
            <w:vAlign w:val="center"/>
          </w:tcPr>
          <w:p w14:paraId="49B694B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导入导出、PDF预览和模板生成</w:t>
            </w:r>
          </w:p>
        </w:tc>
      </w:tr>
      <w:tr w14:paraId="383C3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6F769A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构建工具</w:t>
            </w:r>
          </w:p>
        </w:tc>
        <w:tc>
          <w:tcPr>
            <w:tcW w:w="2268" w:type="dxa"/>
            <w:vAlign w:val="center"/>
          </w:tcPr>
          <w:p w14:paraId="0CB242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Webpack</w:t>
            </w:r>
          </w:p>
        </w:tc>
        <w:tc>
          <w:tcPr>
            <w:tcW w:w="1701" w:type="dxa"/>
            <w:vAlign w:val="center"/>
          </w:tcPr>
          <w:p w14:paraId="723E063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5.89.0</w:t>
            </w:r>
          </w:p>
        </w:tc>
        <w:tc>
          <w:tcPr>
            <w:tcW w:w="3969" w:type="dxa"/>
            <w:vAlign w:val="center"/>
          </w:tcPr>
          <w:p w14:paraId="7B2FB7F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开发服务、生产构建和代码分包</w:t>
            </w:r>
          </w:p>
        </w:tc>
      </w:tr>
      <w:tr w14:paraId="1072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67D991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</w:t>
            </w:r>
          </w:p>
        </w:tc>
        <w:tc>
          <w:tcPr>
            <w:tcW w:w="2268" w:type="dxa"/>
            <w:vAlign w:val="center"/>
          </w:tcPr>
          <w:p w14:paraId="1D9A917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Microsoft SQL Server</w:t>
            </w:r>
          </w:p>
        </w:tc>
        <w:tc>
          <w:tcPr>
            <w:tcW w:w="1701" w:type="dxa"/>
            <w:vAlign w:val="center"/>
          </w:tcPr>
          <w:p w14:paraId="14ABF82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2019 / 兼容级别150</w:t>
            </w:r>
          </w:p>
        </w:tc>
        <w:tc>
          <w:tcPr>
            <w:tcW w:w="3969" w:type="dxa"/>
            <w:vAlign w:val="center"/>
          </w:tcPr>
          <w:p w14:paraId="0C2750F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YL_MESDB 业务数据与过程层</w:t>
            </w:r>
          </w:p>
        </w:tc>
      </w:tr>
    </w:tbl>
    <w:p w14:paraId="04806253">
      <w:pPr>
        <w:bidi w:val="0"/>
        <w:rPr>
          <w:rFonts w:hint="default"/>
          <w:lang w:eastAsia="zh-CN"/>
        </w:rPr>
      </w:pPr>
    </w:p>
    <w:p w14:paraId="293EDD73">
      <w:pPr>
        <w:pStyle w:val="3"/>
        <w:bidi w:val="0"/>
        <w:rPr>
          <w:rFonts w:hint="eastAsia"/>
          <w:lang w:eastAsia="zh-CN"/>
        </w:rPr>
      </w:pPr>
      <w:bookmarkStart w:id="20" w:name="_Toc25896"/>
      <w:r>
        <w:rPr>
          <w:rFonts w:hint="eastAsia"/>
          <w:lang w:eastAsia="zh-CN"/>
        </w:rPr>
        <w:t>4.2 源码目录</w:t>
      </w:r>
      <w:bookmarkEnd w:id="20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3402"/>
        <w:gridCol w:w="3969"/>
      </w:tblGrid>
      <w:tr w14:paraId="3E42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268" w:type="dxa"/>
            <w:vAlign w:val="center"/>
          </w:tcPr>
          <w:p w14:paraId="7CE71542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路径</w:t>
            </w:r>
          </w:p>
        </w:tc>
        <w:tc>
          <w:tcPr>
            <w:tcW w:w="3402" w:type="dxa"/>
            <w:vAlign w:val="center"/>
          </w:tcPr>
          <w:p w14:paraId="533260F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职责</w:t>
            </w:r>
          </w:p>
        </w:tc>
        <w:tc>
          <w:tcPr>
            <w:tcW w:w="3969" w:type="dxa"/>
            <w:vAlign w:val="center"/>
          </w:tcPr>
          <w:p w14:paraId="31BBE82C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变更注意事项</w:t>
            </w:r>
          </w:p>
        </w:tc>
      </w:tr>
      <w:tr w14:paraId="78DF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EF51FB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src/views</w:t>
            </w:r>
          </w:p>
        </w:tc>
        <w:tc>
          <w:tcPr>
            <w:tcW w:w="3402" w:type="dxa"/>
            <w:vAlign w:val="center"/>
          </w:tcPr>
          <w:p w14:paraId="49F61A3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业务页面和模块组件</w:t>
            </w:r>
          </w:p>
        </w:tc>
        <w:tc>
          <w:tcPr>
            <w:tcW w:w="3969" w:type="dxa"/>
            <w:vAlign w:val="center"/>
          </w:tcPr>
          <w:p w14:paraId="4EC23A3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大型页面改动需覆盖状态、权限和接口回归</w:t>
            </w:r>
          </w:p>
        </w:tc>
      </w:tr>
      <w:tr w14:paraId="75C0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00A6AC8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src/api</w:t>
            </w:r>
          </w:p>
        </w:tc>
        <w:tc>
          <w:tcPr>
            <w:tcW w:w="3402" w:type="dxa"/>
            <w:vAlign w:val="center"/>
          </w:tcPr>
          <w:p w14:paraId="1BEF093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封装登录、基础数据、B1、TM及专项接口</w:t>
            </w:r>
          </w:p>
        </w:tc>
        <w:tc>
          <w:tcPr>
            <w:tcW w:w="3969" w:type="dxa"/>
            <w:vAlign w:val="center"/>
          </w:tcPr>
          <w:p w14:paraId="7ABCABA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保持请求参数和返回结构兼容</w:t>
            </w:r>
          </w:p>
        </w:tc>
      </w:tr>
      <w:tr w14:paraId="75351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35AE4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src/router</w:t>
            </w:r>
          </w:p>
        </w:tc>
        <w:tc>
          <w:tcPr>
            <w:tcW w:w="3402" w:type="dxa"/>
            <w:vAlign w:val="center"/>
          </w:tcPr>
          <w:p w14:paraId="7D76EFB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基础路由、动态菜单树和组件映射</w:t>
            </w:r>
          </w:p>
        </w:tc>
        <w:tc>
          <w:tcPr>
            <w:tcW w:w="3969" w:type="dxa"/>
            <w:vAlign w:val="center"/>
          </w:tcPr>
          <w:p w14:paraId="26FA5A3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 component 必须能解析到真实页面</w:t>
            </w:r>
          </w:p>
        </w:tc>
      </w:tr>
      <w:tr w14:paraId="55A1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80F26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src/store</w:t>
            </w:r>
          </w:p>
        </w:tc>
        <w:tc>
          <w:tcPr>
            <w:tcW w:w="3402" w:type="dxa"/>
            <w:vAlign w:val="center"/>
          </w:tcPr>
          <w:p w14:paraId="5FA0169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用户、角色、权限、标签页和应用状态</w:t>
            </w:r>
          </w:p>
        </w:tc>
        <w:tc>
          <w:tcPr>
            <w:tcW w:w="3969" w:type="dxa"/>
            <w:vAlign w:val="center"/>
          </w:tcPr>
          <w:p w14:paraId="341325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登出时清理身份与缓存</w:t>
            </w:r>
          </w:p>
        </w:tc>
      </w:tr>
      <w:tr w14:paraId="78F4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AF1F66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src/utils</w:t>
            </w:r>
          </w:p>
        </w:tc>
        <w:tc>
          <w:tcPr>
            <w:tcW w:w="3402" w:type="dxa"/>
            <w:vAlign w:val="center"/>
          </w:tcPr>
          <w:p w14:paraId="17A80E5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统一请求、认证 Cookie、CRUD、PDF和设备工具</w:t>
            </w:r>
          </w:p>
        </w:tc>
        <w:tc>
          <w:tcPr>
            <w:tcW w:w="3969" w:type="dxa"/>
            <w:vAlign w:val="center"/>
          </w:tcPr>
          <w:p w14:paraId="5C008CC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共享工具变更需扩大回归范围</w:t>
            </w:r>
          </w:p>
        </w:tc>
      </w:tr>
      <w:tr w14:paraId="02852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C28B48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static/config.js</w:t>
            </w:r>
          </w:p>
        </w:tc>
        <w:tc>
          <w:tcPr>
            <w:tcW w:w="3402" w:type="dxa"/>
            <w:vAlign w:val="center"/>
          </w:tcPr>
          <w:p w14:paraId="5543C01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运行时环境地址</w:t>
            </w:r>
          </w:p>
        </w:tc>
        <w:tc>
          <w:tcPr>
            <w:tcW w:w="3969" w:type="dxa"/>
            <w:vAlign w:val="center"/>
          </w:tcPr>
          <w:p w14:paraId="77557D3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按环境发布，不写入账号口令</w:t>
            </w:r>
          </w:p>
        </w:tc>
      </w:tr>
      <w:tr w14:paraId="102A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6888AF0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config / build</w:t>
            </w:r>
          </w:p>
        </w:tc>
        <w:tc>
          <w:tcPr>
            <w:tcW w:w="3402" w:type="dxa"/>
            <w:vAlign w:val="center"/>
          </w:tcPr>
          <w:p w14:paraId="7F9707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开发代理与 Webpack 构建</w:t>
            </w:r>
          </w:p>
        </w:tc>
        <w:tc>
          <w:tcPr>
            <w:tcW w:w="3969" w:type="dxa"/>
            <w:vAlign w:val="center"/>
          </w:tcPr>
          <w:p w14:paraId="0C5C22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生产构建关闭 source map，核对资源路径</w:t>
            </w:r>
          </w:p>
        </w:tc>
      </w:tr>
      <w:tr w14:paraId="40F0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67B8DA0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db_backups</w:t>
            </w:r>
          </w:p>
        </w:tc>
        <w:tc>
          <w:tcPr>
            <w:tcW w:w="3402" w:type="dxa"/>
            <w:vAlign w:val="center"/>
          </w:tcPr>
          <w:p w14:paraId="09963D5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数据库变更和回退证据</w:t>
            </w:r>
          </w:p>
        </w:tc>
        <w:tc>
          <w:tcPr>
            <w:tcW w:w="3969" w:type="dxa"/>
            <w:vAlign w:val="center"/>
          </w:tcPr>
          <w:p w14:paraId="09C6628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一事一脚本，具备前置检查、事务和验证</w:t>
            </w:r>
          </w:p>
        </w:tc>
      </w:tr>
    </w:tbl>
    <w:p w14:paraId="5835ED73">
      <w:pPr>
        <w:bidi w:val="0"/>
        <w:rPr>
          <w:rFonts w:hint="default"/>
          <w:lang w:eastAsia="zh-CN"/>
        </w:rPr>
      </w:pPr>
    </w:p>
    <w:p w14:paraId="008CA704">
      <w:pPr>
        <w:pStyle w:val="3"/>
        <w:bidi w:val="0"/>
        <w:rPr>
          <w:rFonts w:hint="eastAsia"/>
          <w:lang w:eastAsia="zh-CN"/>
        </w:rPr>
      </w:pPr>
      <w:bookmarkStart w:id="21" w:name="_Toc28151"/>
      <w:r>
        <w:rPr>
          <w:rFonts w:hint="eastAsia"/>
          <w:lang w:eastAsia="zh-CN"/>
        </w:rPr>
        <w:t>4.3 模块代码规模</w:t>
      </w:r>
      <w:bookmarkEnd w:id="2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402"/>
        <w:gridCol w:w="1701"/>
        <w:gridCol w:w="4536"/>
      </w:tblGrid>
      <w:tr w14:paraId="06181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3402" w:type="dxa"/>
            <w:vAlign w:val="center"/>
          </w:tcPr>
          <w:p w14:paraId="19513FF7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目录</w:t>
            </w:r>
          </w:p>
        </w:tc>
        <w:tc>
          <w:tcPr>
            <w:tcW w:w="1701" w:type="dxa"/>
            <w:vAlign w:val="center"/>
          </w:tcPr>
          <w:p w14:paraId="0513A8B4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Vue 文件数</w:t>
            </w:r>
          </w:p>
        </w:tc>
        <w:tc>
          <w:tcPr>
            <w:tcW w:w="4536" w:type="dxa"/>
            <w:vAlign w:val="center"/>
          </w:tcPr>
          <w:p w14:paraId="6D77AD06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E4B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47D3906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ProductionManagement</w:t>
            </w:r>
          </w:p>
        </w:tc>
        <w:tc>
          <w:tcPr>
            <w:tcW w:w="1701" w:type="dxa"/>
            <w:vAlign w:val="center"/>
          </w:tcPr>
          <w:p w14:paraId="36E274D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36</w:t>
            </w:r>
          </w:p>
        </w:tc>
        <w:tc>
          <w:tcPr>
            <w:tcW w:w="4536" w:type="dxa"/>
            <w:vAlign w:val="center"/>
          </w:tcPr>
          <w:p w14:paraId="05A5CD0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生产、工时、外协、物流及研发相关页面，复杂度最高</w:t>
            </w:r>
          </w:p>
        </w:tc>
      </w:tr>
      <w:tr w14:paraId="11A6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67B1089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QualityManagement</w:t>
            </w:r>
          </w:p>
        </w:tc>
        <w:tc>
          <w:tcPr>
            <w:tcW w:w="1701" w:type="dxa"/>
            <w:vAlign w:val="center"/>
          </w:tcPr>
          <w:p w14:paraId="38547E7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15</w:t>
            </w:r>
          </w:p>
        </w:tc>
        <w:tc>
          <w:tcPr>
            <w:tcW w:w="4536" w:type="dxa"/>
            <w:vAlign w:val="center"/>
          </w:tcPr>
          <w:p w14:paraId="5AE6E6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检验、标准、处置和统计</w:t>
            </w:r>
          </w:p>
        </w:tc>
      </w:tr>
      <w:tr w14:paraId="3D6C2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6D97D2B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PlanManagement</w:t>
            </w:r>
          </w:p>
        </w:tc>
        <w:tc>
          <w:tcPr>
            <w:tcW w:w="1701" w:type="dxa"/>
            <w:vAlign w:val="center"/>
          </w:tcPr>
          <w:p w14:paraId="2ACE5D0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4536" w:type="dxa"/>
            <w:vAlign w:val="center"/>
          </w:tcPr>
          <w:p w14:paraId="1FC891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机加与装配排产、齐套、关闭及汇总</w:t>
            </w:r>
          </w:p>
        </w:tc>
      </w:tr>
      <w:tr w14:paraId="31A3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39E9BA2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ProcessManagement</w:t>
            </w:r>
          </w:p>
        </w:tc>
        <w:tc>
          <w:tcPr>
            <w:tcW w:w="1701" w:type="dxa"/>
            <w:vAlign w:val="center"/>
          </w:tcPr>
          <w:p w14:paraId="67078D4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4536" w:type="dxa"/>
            <w:vAlign w:val="center"/>
          </w:tcPr>
          <w:p w14:paraId="3182AA1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工序、工艺、图纸与工艺任务</w:t>
            </w:r>
          </w:p>
        </w:tc>
      </w:tr>
      <w:tr w14:paraId="3E15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3230AE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SystemMaintenance</w:t>
            </w:r>
          </w:p>
        </w:tc>
        <w:tc>
          <w:tcPr>
            <w:tcW w:w="1701" w:type="dxa"/>
            <w:vAlign w:val="center"/>
          </w:tcPr>
          <w:p w14:paraId="4593174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4536" w:type="dxa"/>
            <w:vAlign w:val="center"/>
          </w:tcPr>
          <w:p w14:paraId="66876EA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人员、角色、菜单、工位和日志</w:t>
            </w:r>
          </w:p>
        </w:tc>
      </w:tr>
      <w:tr w14:paraId="192A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5B468F6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Device/Anomalous/Sale 等</w:t>
            </w:r>
          </w:p>
        </w:tc>
        <w:tc>
          <w:tcPr>
            <w:tcW w:w="1701" w:type="dxa"/>
            <w:vAlign w:val="center"/>
          </w:tcPr>
          <w:p w14:paraId="71A4628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20</w:t>
            </w:r>
          </w:p>
        </w:tc>
        <w:tc>
          <w:tcPr>
            <w:tcW w:w="4536" w:type="dxa"/>
            <w:vAlign w:val="center"/>
          </w:tcPr>
          <w:p w14:paraId="0574296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设备、异常提醒、销售状态及框架页面</w:t>
            </w:r>
          </w:p>
        </w:tc>
      </w:tr>
    </w:tbl>
    <w:p w14:paraId="460D3BFC">
      <w:pPr>
        <w:bidi w:val="0"/>
        <w:rPr>
          <w:rFonts w:hint="default"/>
          <w:lang w:eastAsia="zh-CN"/>
        </w:rPr>
      </w:pPr>
    </w:p>
    <w:p w14:paraId="595029E2">
      <w:pPr>
        <w:pStyle w:val="3"/>
        <w:bidi w:val="0"/>
        <w:rPr>
          <w:rFonts w:hint="eastAsia"/>
          <w:lang w:eastAsia="zh-CN"/>
        </w:rPr>
      </w:pPr>
      <w:bookmarkStart w:id="22" w:name="_Toc5442"/>
      <w:r>
        <w:rPr>
          <w:rFonts w:hint="eastAsia"/>
          <w:lang w:eastAsia="zh-CN"/>
        </w:rPr>
        <w:t>4.4 编码与提交规范</w:t>
      </w:r>
      <w:bookmarkEnd w:id="22"/>
    </w:p>
    <w:p w14:paraId="380F8F84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所有源文件统一使用 UTF-8；发现乱码注释或字符串时在独立变更中修复并回归。</w:t>
      </w:r>
    </w:p>
    <w:p w14:paraId="26CEE7B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新增页面必须同时完成页面组件、菜单配置、权限配置、接口契约和用户/技术文档。</w:t>
      </w:r>
    </w:p>
    <w:p w14:paraId="767DDADA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共享组件和全局工具不承载单一页面的特殊规则；跨三个以上页面的稳定重复逻辑才考虑抽取。</w:t>
      </w:r>
    </w:p>
    <w:p w14:paraId="0D88AF84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禁止在代码中提交正式密码、个人令牌、数据库连接串和私钥。</w:t>
      </w:r>
    </w:p>
    <w:p w14:paraId="3028798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数据库脚本必须包含对象存在性检查、事务边界、错误回滚、影响说明和只读验证语句。</w:t>
      </w:r>
    </w:p>
    <w:p w14:paraId="21E2C4CA">
      <w:pPr>
        <w:pStyle w:val="2"/>
        <w:bidi w:val="0"/>
        <w:rPr>
          <w:rFonts w:hint="eastAsia"/>
          <w:lang w:eastAsia="zh-CN"/>
        </w:rPr>
      </w:pPr>
      <w:bookmarkStart w:id="23" w:name="_Toc8876"/>
      <w:r>
        <w:rPr>
          <w:rFonts w:hint="eastAsia"/>
          <w:lang w:eastAsia="zh-CN"/>
        </w:rPr>
        <w:t>5 部署架构与环境配置</w:t>
      </w:r>
      <w:bookmarkEnd w:id="23"/>
    </w:p>
    <w:p w14:paraId="055434AC">
      <w:pPr>
        <w:pStyle w:val="3"/>
        <w:bidi w:val="0"/>
        <w:rPr>
          <w:rFonts w:hint="eastAsia"/>
          <w:lang w:eastAsia="zh-CN"/>
        </w:rPr>
      </w:pPr>
      <w:bookmarkStart w:id="24" w:name="_Toc22336"/>
      <w:r>
        <w:rPr>
          <w:rFonts w:hint="eastAsia"/>
          <w:lang w:eastAsia="zh-CN"/>
        </w:rPr>
        <w:t>5.1 正式环境拓扑</w:t>
      </w:r>
      <w:bookmarkEnd w:id="24"/>
    </w:p>
    <w:p w14:paraId="31E02ADE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868670" cy="2934335"/>
            <wp:effectExtent l="0" t="0" r="11430" b="12065"/>
            <wp:docPr id="3" name="图片 3" descr="deployment-top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eployment-topology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FA724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图5-1 当前部署与集成拓扑</w:t>
      </w:r>
    </w:p>
    <w:p w14:paraId="0BC36E19">
      <w:pPr>
        <w:pStyle w:val="3"/>
        <w:bidi w:val="0"/>
        <w:rPr>
          <w:rFonts w:hint="eastAsia"/>
          <w:lang w:eastAsia="zh-CN"/>
        </w:rPr>
      </w:pPr>
      <w:bookmarkStart w:id="25" w:name="_Toc12030"/>
      <w:r>
        <w:rPr>
          <w:rFonts w:hint="eastAsia"/>
          <w:lang w:eastAsia="zh-CN"/>
        </w:rPr>
        <w:t>5.2 当前运行时端点</w:t>
      </w:r>
      <w:bookmarkEnd w:id="25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4706"/>
        <w:gridCol w:w="2665"/>
      </w:tblGrid>
      <w:tr w14:paraId="55E0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268" w:type="dxa"/>
            <w:vAlign w:val="center"/>
          </w:tcPr>
          <w:p w14:paraId="03DFB19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用途</w:t>
            </w:r>
          </w:p>
        </w:tc>
        <w:tc>
          <w:tcPr>
            <w:tcW w:w="4706" w:type="dxa"/>
            <w:vAlign w:val="center"/>
          </w:tcPr>
          <w:p w14:paraId="012307F6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当前配置</w:t>
            </w:r>
          </w:p>
        </w:tc>
        <w:tc>
          <w:tcPr>
            <w:tcW w:w="2665" w:type="dxa"/>
            <w:vAlign w:val="center"/>
          </w:tcPr>
          <w:p w14:paraId="7DF40022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来源/说明</w:t>
            </w:r>
          </w:p>
        </w:tc>
      </w:tr>
      <w:tr w14:paraId="3B34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9E9AD4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MES 通用接口</w:t>
            </w:r>
          </w:p>
        </w:tc>
        <w:tc>
          <w:tcPr>
            <w:tcW w:w="4706" w:type="dxa"/>
            <w:vAlign w:val="center"/>
          </w:tcPr>
          <w:p w14:paraId="24A8802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https://192.168.2.92:10101/submit/MESCommonBase.ashx</w:t>
            </w:r>
          </w:p>
        </w:tc>
        <w:tc>
          <w:tcPr>
            <w:tcW w:w="2665" w:type="dxa"/>
            <w:vAlign w:val="center"/>
          </w:tcPr>
          <w:p w14:paraId="1C48C38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static/config.js：常规业务请求</w:t>
            </w:r>
          </w:p>
        </w:tc>
      </w:tr>
      <w:tr w14:paraId="1F106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6C1B3F3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MES 服务根地址</w:t>
            </w:r>
          </w:p>
        </w:tc>
        <w:tc>
          <w:tcPr>
            <w:tcW w:w="4706" w:type="dxa"/>
            <w:vAlign w:val="center"/>
          </w:tcPr>
          <w:p w14:paraId="0229ADA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https://192.168.2.92:10101</w:t>
            </w:r>
          </w:p>
        </w:tc>
        <w:tc>
          <w:tcPr>
            <w:tcW w:w="2665" w:type="dxa"/>
            <w:vAlign w:val="center"/>
          </w:tcPr>
          <w:p w14:paraId="5BA7633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文件上传下载等</w:t>
            </w:r>
          </w:p>
        </w:tc>
      </w:tr>
      <w:tr w14:paraId="59FB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6542418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SAP B1 代理</w:t>
            </w:r>
          </w:p>
        </w:tc>
        <w:tc>
          <w:tcPr>
            <w:tcW w:w="4706" w:type="dxa"/>
            <w:vAlign w:val="center"/>
          </w:tcPr>
          <w:p w14:paraId="7C7E9C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https://192.168.2.92:9996/b1s</w:t>
            </w:r>
          </w:p>
        </w:tc>
        <w:tc>
          <w:tcPr>
            <w:tcW w:w="2665" w:type="dxa"/>
            <w:vAlign w:val="center"/>
          </w:tcPr>
          <w:p w14:paraId="08791EF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前端 b1s.js 统一 POST 代理</w:t>
            </w:r>
          </w:p>
        </w:tc>
      </w:tr>
      <w:tr w14:paraId="3066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23229CE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TM 代理</w:t>
            </w:r>
          </w:p>
        </w:tc>
        <w:tc>
          <w:tcPr>
            <w:tcW w:w="4706" w:type="dxa"/>
            <w:vAlign w:val="center"/>
          </w:tcPr>
          <w:p w14:paraId="31F111E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https://192.168.2.92:9996/openapi</w:t>
            </w:r>
          </w:p>
        </w:tc>
        <w:tc>
          <w:tcPr>
            <w:tcW w:w="2665" w:type="dxa"/>
            <w:vAlign w:val="center"/>
          </w:tcPr>
          <w:p w14:paraId="46A622A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前端 tm.js 统一 POST 代理</w:t>
            </w:r>
          </w:p>
        </w:tc>
      </w:tr>
      <w:tr w14:paraId="545F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58CB94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AGV 搬运接口</w:t>
            </w:r>
          </w:p>
        </w:tc>
        <w:tc>
          <w:tcPr>
            <w:tcW w:w="4706" w:type="dxa"/>
            <w:vAlign w:val="center"/>
          </w:tcPr>
          <w:p w14:paraId="1AFC507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http://192.168.2.92:9981/api/zk/call_agv_move_web</w:t>
            </w:r>
          </w:p>
        </w:tc>
        <w:tc>
          <w:tcPr>
            <w:tcW w:w="2665" w:type="dxa"/>
            <w:vAlign w:val="center"/>
          </w:tcPr>
          <w:p w14:paraId="250A1D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物料机器人页面当前实现</w:t>
            </w:r>
          </w:p>
        </w:tc>
      </w:tr>
      <w:tr w14:paraId="60FB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4CAB42F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数据库</w:t>
            </w:r>
          </w:p>
        </w:tc>
        <w:tc>
          <w:tcPr>
            <w:tcW w:w="4706" w:type="dxa"/>
            <w:vAlign w:val="center"/>
          </w:tcPr>
          <w:p w14:paraId="163D492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192.168.2.92 / YL_MESDB</w:t>
            </w:r>
          </w:p>
        </w:tc>
        <w:tc>
          <w:tcPr>
            <w:tcW w:w="2665" w:type="dxa"/>
            <w:vAlign w:val="center"/>
          </w:tcPr>
          <w:p w14:paraId="7F19CDB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凭据单独保管，不进入文档和代码</w:t>
            </w:r>
          </w:p>
        </w:tc>
      </w:tr>
    </w:tbl>
    <w:p w14:paraId="6174DAA8">
      <w:pPr>
        <w:bidi w:val="0"/>
        <w:rPr>
          <w:rFonts w:hint="default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570"/>
      </w:tblGrid>
      <w:tr w14:paraId="5518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70" w:type="dxa"/>
            <w:shd w:val="clear" w:color="auto" w:fill="F3E2D9"/>
          </w:tcPr>
          <w:p w14:paraId="27990575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安全边界：上表用于技术维护和网络检查，不代表对所有终端开放。应通过服务器防火墙、反向代理和访问控制限制来源；AGV 当前为 HTTP 地址，应评估升级为 HTTPS 或限定在隔离网络。</w:t>
            </w:r>
          </w:p>
        </w:tc>
      </w:tr>
    </w:tbl>
    <w:p w14:paraId="79CD53DA">
      <w:pPr>
        <w:bidi w:val="0"/>
        <w:rPr>
          <w:rFonts w:hint="default"/>
          <w:lang w:eastAsia="zh-CN"/>
        </w:rPr>
      </w:pPr>
    </w:p>
    <w:p w14:paraId="3239FCAD">
      <w:pPr>
        <w:pStyle w:val="3"/>
        <w:bidi w:val="0"/>
        <w:rPr>
          <w:rFonts w:hint="eastAsia"/>
          <w:lang w:eastAsia="zh-CN"/>
        </w:rPr>
      </w:pPr>
      <w:bookmarkStart w:id="26" w:name="_Toc25479"/>
      <w:r>
        <w:rPr>
          <w:rFonts w:hint="eastAsia"/>
          <w:lang w:eastAsia="zh-CN"/>
        </w:rPr>
        <w:t>5.3 前端构建与发布</w:t>
      </w:r>
      <w:bookmarkEnd w:id="26"/>
    </w:p>
    <w:p w14:paraId="32F41A21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安装 Node.js 20 及 npm 9 或更高兼容版本，执行 npm ci 安装锁定依赖。</w:t>
      </w:r>
    </w:p>
    <w:p w14:paraId="6EB4AEF4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在目标环境准备 static/config.js；只配置服务地址，不加入账号和密码。</w:t>
      </w:r>
    </w:p>
    <w:p w14:paraId="29B957DD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执行 npm run build，生成 dist 目录。构建脚本会清理 dist/static/config.js，因此发布包中必须由环境配置步骤补回该文件。</w:t>
      </w:r>
    </w:p>
    <w:p w14:paraId="455E0A59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将 dist 发布至 Web 服务，启用 HTTPS、正确 MIME 类型、静态缓存和 index.html 回退。</w:t>
      </w:r>
    </w:p>
    <w:p w14:paraId="4DC9C475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使用非管理员账号完成登录、菜单、查询、写操作权限和附件访问冒烟测试。</w:t>
      </w:r>
    </w:p>
    <w:p w14:paraId="02B52F65">
      <w:pPr>
        <w:pStyle w:val="3"/>
        <w:bidi w:val="0"/>
        <w:rPr>
          <w:rFonts w:hint="eastAsia"/>
          <w:lang w:eastAsia="zh-CN"/>
        </w:rPr>
      </w:pPr>
      <w:bookmarkStart w:id="27" w:name="_Toc32273"/>
      <w:r>
        <w:rPr>
          <w:rFonts w:hint="eastAsia"/>
          <w:lang w:eastAsia="zh-CN"/>
        </w:rPr>
        <w:t>5.4 发布目录要求</w:t>
      </w:r>
      <w:bookmarkEnd w:id="27"/>
    </w:p>
    <w:tbl>
      <w:tblPr>
        <w:tblStyle w:val="10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81"/>
        <w:gridCol w:w="2381"/>
        <w:gridCol w:w="4876"/>
      </w:tblGrid>
      <w:tr w14:paraId="34EB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381" w:type="dxa"/>
            <w:vAlign w:val="center"/>
          </w:tcPr>
          <w:p w14:paraId="3591C3B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  <w:tc>
          <w:tcPr>
            <w:tcW w:w="2381" w:type="dxa"/>
            <w:vAlign w:val="center"/>
          </w:tcPr>
          <w:p w14:paraId="7C73530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缓存策略</w:t>
            </w:r>
          </w:p>
        </w:tc>
        <w:tc>
          <w:tcPr>
            <w:tcW w:w="4876" w:type="dxa"/>
            <w:vAlign w:val="center"/>
          </w:tcPr>
          <w:p w14:paraId="793A7163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发布要求</w:t>
            </w:r>
          </w:p>
        </w:tc>
      </w:tr>
      <w:tr w14:paraId="6DC6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36F00FE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index.html</w:t>
            </w:r>
          </w:p>
        </w:tc>
        <w:tc>
          <w:tcPr>
            <w:tcW w:w="2381" w:type="dxa"/>
            <w:vAlign w:val="center"/>
          </w:tcPr>
          <w:p w14:paraId="1B236E4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不缓存或短缓存</w:t>
            </w:r>
          </w:p>
        </w:tc>
        <w:tc>
          <w:tcPr>
            <w:tcW w:w="4876" w:type="dxa"/>
            <w:vAlign w:val="center"/>
          </w:tcPr>
          <w:p w14:paraId="1490480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确保新版本入口及时生效</w:t>
            </w:r>
          </w:p>
        </w:tc>
      </w:tr>
      <w:tr w14:paraId="0A7B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4D9EB23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带 contenthash 的 JS/CSS</w:t>
            </w:r>
          </w:p>
        </w:tc>
        <w:tc>
          <w:tcPr>
            <w:tcW w:w="2381" w:type="dxa"/>
            <w:vAlign w:val="center"/>
          </w:tcPr>
          <w:p w14:paraId="1051BC6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长期缓存</w:t>
            </w:r>
          </w:p>
        </w:tc>
        <w:tc>
          <w:tcPr>
            <w:tcW w:w="4876" w:type="dxa"/>
            <w:vAlign w:val="center"/>
          </w:tcPr>
          <w:p w14:paraId="75AB04E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文件名变化自动失效</w:t>
            </w:r>
          </w:p>
        </w:tc>
      </w:tr>
      <w:tr w14:paraId="7164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7B46C78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static/config.js</w:t>
            </w:r>
          </w:p>
        </w:tc>
        <w:tc>
          <w:tcPr>
            <w:tcW w:w="2381" w:type="dxa"/>
            <w:vAlign w:val="center"/>
          </w:tcPr>
          <w:p w14:paraId="683C7F2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不缓存或短缓存</w:t>
            </w:r>
          </w:p>
        </w:tc>
        <w:tc>
          <w:tcPr>
            <w:tcW w:w="4876" w:type="dxa"/>
            <w:vAlign w:val="center"/>
          </w:tcPr>
          <w:p w14:paraId="593988D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按环境独立管理，发布后检查端点</w:t>
            </w:r>
          </w:p>
        </w:tc>
      </w:tr>
      <w:tr w14:paraId="2B43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4FFC40B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图片、字体和图标</w:t>
            </w:r>
          </w:p>
        </w:tc>
        <w:tc>
          <w:tcPr>
            <w:tcW w:w="2381" w:type="dxa"/>
            <w:vAlign w:val="center"/>
          </w:tcPr>
          <w:p w14:paraId="33E684B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长期缓存</w:t>
            </w:r>
          </w:p>
        </w:tc>
        <w:tc>
          <w:tcPr>
            <w:tcW w:w="4876" w:type="dxa"/>
            <w:vAlign w:val="center"/>
          </w:tcPr>
          <w:p w14:paraId="135B917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检查跨域、MIME和中文文件名</w:t>
            </w:r>
          </w:p>
        </w:tc>
      </w:tr>
      <w:tr w14:paraId="1180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381" w:type="dxa"/>
            <w:vAlign w:val="center"/>
          </w:tcPr>
          <w:p w14:paraId="552AF28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图纸/附件</w:t>
            </w:r>
          </w:p>
        </w:tc>
        <w:tc>
          <w:tcPr>
            <w:tcW w:w="2381" w:type="dxa"/>
            <w:vAlign w:val="center"/>
          </w:tcPr>
          <w:p w14:paraId="36FD93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按业务权限</w:t>
            </w:r>
          </w:p>
        </w:tc>
        <w:tc>
          <w:tcPr>
            <w:tcW w:w="4876" w:type="dxa"/>
            <w:vAlign w:val="center"/>
          </w:tcPr>
          <w:p w14:paraId="76D4E3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不得以公共静态目录绕过鉴权</w:t>
            </w:r>
          </w:p>
        </w:tc>
      </w:tr>
    </w:tbl>
    <w:p w14:paraId="5FF32364">
      <w:pPr>
        <w:bidi w:val="0"/>
        <w:rPr>
          <w:rFonts w:hint="default"/>
          <w:lang w:eastAsia="zh-CN"/>
        </w:rPr>
      </w:pPr>
    </w:p>
    <w:p w14:paraId="2BD34124">
      <w:pPr>
        <w:pStyle w:val="3"/>
        <w:bidi w:val="0"/>
        <w:rPr>
          <w:rFonts w:hint="eastAsia"/>
          <w:lang w:eastAsia="zh-CN"/>
        </w:rPr>
      </w:pPr>
      <w:bookmarkStart w:id="28" w:name="_Toc951"/>
      <w:r>
        <w:rPr>
          <w:rFonts w:hint="eastAsia"/>
          <w:lang w:eastAsia="zh-CN"/>
        </w:rPr>
        <w:t>5.5 回退条件</w:t>
      </w:r>
      <w:bookmarkEnd w:id="28"/>
    </w:p>
    <w:p w14:paraId="5F3617D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登录或动态菜单无法正常加载。</w:t>
      </w:r>
    </w:p>
    <w:p w14:paraId="2302784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核心查询、保存、下发、报工或检验出现批量失败。</w:t>
      </w:r>
    </w:p>
    <w:p w14:paraId="6029F21F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数据库脚本验证失败或数据状态不一致。</w:t>
      </w:r>
    </w:p>
    <w:p w14:paraId="36843140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SAP、TM、文件、AGV等关键集成产生不可接受的业务中断。</w:t>
      </w:r>
    </w:p>
    <w:p w14:paraId="41B09D4D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出现越权、敏感信息泄露或无法审计的写操作。</w:t>
      </w:r>
    </w:p>
    <w:p w14:paraId="3803936E">
      <w:pPr>
        <w:pStyle w:val="2"/>
        <w:bidi w:val="0"/>
        <w:rPr>
          <w:rFonts w:hint="eastAsia"/>
          <w:lang w:eastAsia="zh-CN"/>
        </w:rPr>
      </w:pPr>
      <w:bookmarkStart w:id="29" w:name="_Toc14821"/>
      <w:r>
        <w:rPr>
          <w:rFonts w:hint="eastAsia"/>
          <w:lang w:eastAsia="zh-CN"/>
        </w:rPr>
        <w:t>6 配置管理</w:t>
      </w:r>
      <w:bookmarkEnd w:id="29"/>
    </w:p>
    <w:p w14:paraId="57161E92">
      <w:pPr>
        <w:pStyle w:val="3"/>
        <w:bidi w:val="0"/>
        <w:rPr>
          <w:rFonts w:hint="eastAsia"/>
          <w:lang w:eastAsia="zh-CN"/>
        </w:rPr>
      </w:pPr>
      <w:bookmarkStart w:id="30" w:name="_Toc11560"/>
      <w:r>
        <w:rPr>
          <w:rFonts w:hint="eastAsia"/>
          <w:lang w:eastAsia="zh-CN"/>
        </w:rPr>
        <w:t>6.1 配置分类</w:t>
      </w:r>
      <w:bookmarkEnd w:id="30"/>
    </w:p>
    <w:tbl>
      <w:tblPr>
        <w:tblStyle w:val="10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3119"/>
        <w:gridCol w:w="4253"/>
      </w:tblGrid>
      <w:tr w14:paraId="6458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268" w:type="dxa"/>
            <w:vAlign w:val="center"/>
          </w:tcPr>
          <w:p w14:paraId="58C52830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配置类别</w:t>
            </w:r>
          </w:p>
        </w:tc>
        <w:tc>
          <w:tcPr>
            <w:tcW w:w="3119" w:type="dxa"/>
            <w:vAlign w:val="center"/>
          </w:tcPr>
          <w:p w14:paraId="6E9554E4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位置</w:t>
            </w:r>
          </w:p>
        </w:tc>
        <w:tc>
          <w:tcPr>
            <w:tcW w:w="4253" w:type="dxa"/>
            <w:vAlign w:val="center"/>
          </w:tcPr>
          <w:p w14:paraId="6DDCFBFB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管理要求</w:t>
            </w:r>
          </w:p>
        </w:tc>
      </w:tr>
      <w:tr w14:paraId="12621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5D002B6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前端运行时地址</w:t>
            </w:r>
          </w:p>
        </w:tc>
        <w:tc>
          <w:tcPr>
            <w:tcW w:w="3119" w:type="dxa"/>
            <w:vAlign w:val="center"/>
          </w:tcPr>
          <w:p w14:paraId="281B0DF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static/config.js</w:t>
            </w:r>
          </w:p>
        </w:tc>
        <w:tc>
          <w:tcPr>
            <w:tcW w:w="4253" w:type="dxa"/>
            <w:vAlign w:val="center"/>
          </w:tcPr>
          <w:p w14:paraId="020534B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环境独立、发布时注入、禁止密码</w:t>
            </w:r>
          </w:p>
        </w:tc>
      </w:tr>
      <w:tr w14:paraId="4DAE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58CB8D3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开发代理</w:t>
            </w:r>
          </w:p>
        </w:tc>
        <w:tc>
          <w:tcPr>
            <w:tcW w:w="3119" w:type="dxa"/>
            <w:vAlign w:val="center"/>
          </w:tcPr>
          <w:p w14:paraId="6ACCDC8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config/index.js</w:t>
            </w:r>
          </w:p>
        </w:tc>
        <w:tc>
          <w:tcPr>
            <w:tcW w:w="4253" w:type="dxa"/>
            <w:vAlign w:val="center"/>
          </w:tcPr>
          <w:p w14:paraId="1433467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仅开发使用，不作为正式环境反向代理依据</w:t>
            </w:r>
          </w:p>
        </w:tc>
      </w:tr>
      <w:tr w14:paraId="4BB5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2B01EF8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菜单与页面权限</w:t>
            </w:r>
          </w:p>
        </w:tc>
        <w:tc>
          <w:tcPr>
            <w:tcW w:w="3119" w:type="dxa"/>
            <w:vAlign w:val="center"/>
          </w:tcPr>
          <w:p w14:paraId="7E4942C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登录基础数据_二级菜单</w:t>
            </w:r>
          </w:p>
        </w:tc>
        <w:tc>
          <w:tcPr>
            <w:tcW w:w="4253" w:type="dxa"/>
            <w:vAlign w:val="center"/>
          </w:tcPr>
          <w:p w14:paraId="361FC63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按角色维护，变更需校验动态路由</w:t>
            </w:r>
          </w:p>
        </w:tc>
      </w:tr>
      <w:tr w14:paraId="1A47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4FDBCE8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人员与角色</w:t>
            </w:r>
          </w:p>
        </w:tc>
        <w:tc>
          <w:tcPr>
            <w:tcW w:w="3119" w:type="dxa"/>
            <w:vAlign w:val="center"/>
          </w:tcPr>
          <w:p w14:paraId="7062334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系统管理相关基础数据</w:t>
            </w:r>
          </w:p>
        </w:tc>
        <w:tc>
          <w:tcPr>
            <w:tcW w:w="4253" w:type="dxa"/>
            <w:vAlign w:val="center"/>
          </w:tcPr>
          <w:p w14:paraId="23048C0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最小权限、离职停用、定期复核</w:t>
            </w:r>
          </w:p>
        </w:tc>
      </w:tr>
      <w:tr w14:paraId="2720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5787B18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工位、班次和字典</w:t>
            </w:r>
          </w:p>
        </w:tc>
        <w:tc>
          <w:tcPr>
            <w:tcW w:w="3119" w:type="dxa"/>
            <w:vAlign w:val="center"/>
          </w:tcPr>
          <w:p w14:paraId="0772308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业务基础数据</w:t>
            </w:r>
          </w:p>
        </w:tc>
        <w:tc>
          <w:tcPr>
            <w:tcW w:w="4253" w:type="dxa"/>
            <w:vAlign w:val="center"/>
          </w:tcPr>
          <w:p w14:paraId="285E784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变更前评估对排产、工时和统计的影响</w:t>
            </w:r>
          </w:p>
        </w:tc>
      </w:tr>
      <w:tr w14:paraId="65D5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2D513BD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数据库连接与服务凭据</w:t>
            </w:r>
          </w:p>
        </w:tc>
        <w:tc>
          <w:tcPr>
            <w:tcW w:w="3119" w:type="dxa"/>
            <w:vAlign w:val="center"/>
          </w:tcPr>
          <w:p w14:paraId="77383E5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服务端安全配置</w:t>
            </w:r>
          </w:p>
        </w:tc>
        <w:tc>
          <w:tcPr>
            <w:tcW w:w="4253" w:type="dxa"/>
            <w:vAlign w:val="center"/>
          </w:tcPr>
          <w:p w14:paraId="1B2E3A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密钥库/受限配置，不写入前端或文档</w:t>
            </w:r>
          </w:p>
        </w:tc>
      </w:tr>
      <w:tr w14:paraId="5BFE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908F8F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外部系统端点</w:t>
            </w:r>
          </w:p>
        </w:tc>
        <w:tc>
          <w:tcPr>
            <w:tcW w:w="3119" w:type="dxa"/>
            <w:vAlign w:val="center"/>
          </w:tcPr>
          <w:p w14:paraId="1EAF66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前端运行时配置或服务端配置</w:t>
            </w:r>
          </w:p>
        </w:tc>
        <w:tc>
          <w:tcPr>
            <w:tcW w:w="4253" w:type="dxa"/>
            <w:vAlign w:val="center"/>
          </w:tcPr>
          <w:p w14:paraId="2538A71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区分开发、测试、正式，纳入连通性检查</w:t>
            </w:r>
          </w:p>
        </w:tc>
      </w:tr>
    </w:tbl>
    <w:p w14:paraId="31F8AC62">
      <w:pPr>
        <w:bidi w:val="0"/>
        <w:rPr>
          <w:rFonts w:hint="default"/>
          <w:lang w:eastAsia="zh-CN"/>
        </w:rPr>
      </w:pPr>
    </w:p>
    <w:p w14:paraId="27C49BB3">
      <w:pPr>
        <w:pStyle w:val="3"/>
        <w:bidi w:val="0"/>
        <w:rPr>
          <w:rFonts w:hint="eastAsia"/>
          <w:lang w:eastAsia="zh-CN"/>
        </w:rPr>
      </w:pPr>
      <w:bookmarkStart w:id="31" w:name="_Toc4201"/>
      <w:r>
        <w:rPr>
          <w:rFonts w:hint="eastAsia"/>
          <w:lang w:eastAsia="zh-CN"/>
        </w:rPr>
        <w:t>6.2 配置变更控制</w:t>
      </w:r>
      <w:bookmarkEnd w:id="31"/>
    </w:p>
    <w:p w14:paraId="0EA9434D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配置变更必须记录变更人、时间、原值、新值、原因、验证结果和回退值。</w:t>
      </w:r>
    </w:p>
    <w:p w14:paraId="05835BB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正式环境配置不得直接从开发环境复制覆盖，必须逐项比对。</w:t>
      </w:r>
    </w:p>
    <w:p w14:paraId="005179E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菜单路径、组件路径和权限位变更后，需要清除登录缓存并使用目标角色重新登录验证。</w:t>
      </w:r>
    </w:p>
    <w:p w14:paraId="74BA280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工位、班次、字典和状态类配置变更应验证历史数据展示不受破坏。</w:t>
      </w:r>
    </w:p>
    <w:p w14:paraId="6707369C">
      <w:pPr>
        <w:pStyle w:val="2"/>
        <w:bidi w:val="0"/>
        <w:rPr>
          <w:rFonts w:hint="eastAsia"/>
          <w:lang w:eastAsia="zh-CN"/>
        </w:rPr>
      </w:pPr>
      <w:bookmarkStart w:id="32" w:name="_Toc29755"/>
      <w:r>
        <w:rPr>
          <w:rFonts w:hint="eastAsia"/>
          <w:lang w:eastAsia="zh-CN"/>
        </w:rPr>
        <w:t>7 身份、权限与安全</w:t>
      </w:r>
      <w:bookmarkEnd w:id="32"/>
    </w:p>
    <w:p w14:paraId="2E1475A3">
      <w:pPr>
        <w:pStyle w:val="3"/>
        <w:bidi w:val="0"/>
        <w:rPr>
          <w:rFonts w:hint="eastAsia"/>
          <w:lang w:eastAsia="zh-CN"/>
        </w:rPr>
      </w:pPr>
      <w:bookmarkStart w:id="33" w:name="_Toc4601"/>
      <w:r>
        <w:rPr>
          <w:rFonts w:hint="eastAsia"/>
          <w:lang w:eastAsia="zh-CN"/>
        </w:rPr>
        <w:t>7.1 权限流程</w:t>
      </w:r>
      <w:bookmarkEnd w:id="33"/>
    </w:p>
    <w:p w14:paraId="1226E216">
      <w:pPr>
        <w:bidi w:val="0"/>
        <w:ind w:firstLine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868670" cy="2934335"/>
            <wp:effectExtent l="0" t="0" r="11430" b="12065"/>
            <wp:docPr id="4" name="图片 4" descr="permission-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ermission-flow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DC52">
      <w:pPr>
        <w:bidi w:val="0"/>
        <w:spacing w:after="160"/>
        <w:ind w:firstLine="0"/>
        <w:jc w:val="center"/>
        <w:rPr>
          <w:rFonts w:hint="eastAsia" w:cs="Arial"/>
          <w:b w:val="0"/>
          <w:color w:val="000000"/>
          <w:sz w:val="18"/>
          <w:lang w:eastAsia="zh-CN"/>
        </w:rPr>
      </w:pPr>
      <w:r>
        <w:rPr>
          <w:rFonts w:hint="eastAsia" w:cs="Arial"/>
          <w:b w:val="0"/>
          <w:color w:val="000000"/>
          <w:sz w:val="18"/>
          <w:lang w:eastAsia="zh-CN"/>
        </w:rPr>
        <w:t>图7-1 登录、菜单与业务请求权限链路</w:t>
      </w:r>
    </w:p>
    <w:p w14:paraId="041BD2F6">
      <w:pPr>
        <w:pStyle w:val="3"/>
        <w:bidi w:val="0"/>
        <w:rPr>
          <w:rFonts w:hint="eastAsia"/>
          <w:lang w:eastAsia="zh-CN"/>
        </w:rPr>
      </w:pPr>
      <w:bookmarkStart w:id="34" w:name="_Toc18257"/>
      <w:r>
        <w:rPr>
          <w:rFonts w:hint="eastAsia"/>
          <w:lang w:eastAsia="zh-CN"/>
        </w:rPr>
        <w:t>7.2 当前实现</w:t>
      </w:r>
      <w:bookmarkEnd w:id="34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4196"/>
        <w:gridCol w:w="3629"/>
      </w:tblGrid>
      <w:tr w14:paraId="1D84C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814" w:type="dxa"/>
            <w:vAlign w:val="center"/>
          </w:tcPr>
          <w:p w14:paraId="449311B0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环节</w:t>
            </w:r>
          </w:p>
        </w:tc>
        <w:tc>
          <w:tcPr>
            <w:tcW w:w="4196" w:type="dxa"/>
            <w:vAlign w:val="center"/>
          </w:tcPr>
          <w:p w14:paraId="709BA13E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当前机制</w:t>
            </w:r>
          </w:p>
        </w:tc>
        <w:tc>
          <w:tcPr>
            <w:tcW w:w="3629" w:type="dxa"/>
            <w:vAlign w:val="center"/>
          </w:tcPr>
          <w:p w14:paraId="48009B4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控制重点</w:t>
            </w:r>
          </w:p>
        </w:tc>
      </w:tr>
      <w:tr w14:paraId="7BA8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013484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登录</w:t>
            </w:r>
          </w:p>
        </w:tc>
        <w:tc>
          <w:tcPr>
            <w:tcW w:w="4196" w:type="dxa"/>
            <w:vAlign w:val="center"/>
          </w:tcPr>
          <w:p w14:paraId="678D4F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用户名和密码由统一 MES 接口验证</w:t>
            </w:r>
          </w:p>
        </w:tc>
        <w:tc>
          <w:tcPr>
            <w:tcW w:w="3629" w:type="dxa"/>
            <w:vAlign w:val="center"/>
          </w:tcPr>
          <w:p w14:paraId="7DCD941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必须使用可信 HTTPS 证书</w:t>
            </w:r>
          </w:p>
        </w:tc>
      </w:tr>
      <w:tr w14:paraId="68E3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3A08410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角色</w:t>
            </w:r>
          </w:p>
        </w:tc>
        <w:tc>
          <w:tcPr>
            <w:tcW w:w="4196" w:type="dxa"/>
            <w:vAlign w:val="center"/>
          </w:tcPr>
          <w:p w14:paraId="27C1218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账号可关联多个角色；角色编号写入 Admin-Token Cookie</w:t>
            </w:r>
          </w:p>
        </w:tc>
        <w:tc>
          <w:tcPr>
            <w:tcW w:w="3629" w:type="dxa"/>
            <w:vAlign w:val="center"/>
          </w:tcPr>
          <w:p w14:paraId="12D7705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角色选择后重新加载菜单</w:t>
            </w:r>
          </w:p>
        </w:tc>
      </w:tr>
      <w:tr w14:paraId="1146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573FD3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</w:t>
            </w:r>
          </w:p>
        </w:tc>
        <w:tc>
          <w:tcPr>
            <w:tcW w:w="4196" w:type="dxa"/>
            <w:vAlign w:val="center"/>
          </w:tcPr>
          <w:p w14:paraId="3093A54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按角色读取菜单数据，getTreeData 构建树并动态 addRoutes</w:t>
            </w:r>
          </w:p>
        </w:tc>
        <w:tc>
          <w:tcPr>
            <w:tcW w:w="3629" w:type="dxa"/>
            <w:vAlign w:val="center"/>
          </w:tcPr>
          <w:p w14:paraId="37B503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组件路径必须受白名单/构建产物约束</w:t>
            </w:r>
          </w:p>
        </w:tc>
      </w:tr>
      <w:tr w14:paraId="395D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274D3C4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页面权限</w:t>
            </w:r>
          </w:p>
        </w:tc>
        <w:tc>
          <w:tcPr>
            <w:tcW w:w="4196" w:type="dxa"/>
            <w:vAlign w:val="center"/>
          </w:tcPr>
          <w:p w14:paraId="7334E1A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菜单记录含 AddData/DeleteData/EditData/SearchData 权限位</w:t>
            </w:r>
          </w:p>
        </w:tc>
        <w:tc>
          <w:tcPr>
            <w:tcW w:w="3629" w:type="dxa"/>
            <w:vAlign w:val="center"/>
          </w:tcPr>
          <w:p w14:paraId="61C8C35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按钮权限与后端写权限保持一致</w:t>
            </w:r>
          </w:p>
        </w:tc>
      </w:tr>
      <w:tr w14:paraId="1959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9F7503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请求上下文</w:t>
            </w:r>
          </w:p>
        </w:tc>
        <w:tc>
          <w:tcPr>
            <w:tcW w:w="4196" w:type="dxa"/>
            <w:vAlign w:val="center"/>
          </w:tcPr>
          <w:p w14:paraId="2028715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公共请求包含 UserID、UserName、ModularID</w:t>
            </w:r>
          </w:p>
        </w:tc>
        <w:tc>
          <w:tcPr>
            <w:tcW w:w="3629" w:type="dxa"/>
            <w:vAlign w:val="center"/>
          </w:tcPr>
          <w:p w14:paraId="5F15AD8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服务端不可只信任前端传值</w:t>
            </w:r>
          </w:p>
        </w:tc>
      </w:tr>
      <w:tr w14:paraId="5E22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59686FD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登出</w:t>
            </w:r>
          </w:p>
        </w:tc>
        <w:tc>
          <w:tcPr>
            <w:tcW w:w="4196" w:type="dxa"/>
            <w:vAlign w:val="center"/>
          </w:tcPr>
          <w:p w14:paraId="21592E7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清理用户、账号、角色 Cookie</w:t>
            </w:r>
          </w:p>
        </w:tc>
        <w:tc>
          <w:tcPr>
            <w:tcW w:w="3629" w:type="dxa"/>
            <w:vAlign w:val="center"/>
          </w:tcPr>
          <w:p w14:paraId="657CC77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同时使服务端会话或令牌失效</w:t>
            </w:r>
          </w:p>
        </w:tc>
      </w:tr>
    </w:tbl>
    <w:p w14:paraId="7B9747CD">
      <w:pPr>
        <w:bidi w:val="0"/>
        <w:rPr>
          <w:rFonts w:hint="default"/>
          <w:lang w:eastAsia="zh-CN"/>
        </w:rPr>
      </w:pPr>
    </w:p>
    <w:p w14:paraId="635993E4">
      <w:pPr>
        <w:pStyle w:val="3"/>
        <w:bidi w:val="0"/>
        <w:rPr>
          <w:rFonts w:hint="eastAsia"/>
          <w:lang w:eastAsia="zh-CN"/>
        </w:rPr>
      </w:pPr>
      <w:bookmarkStart w:id="35" w:name="_Toc32004"/>
      <w:r>
        <w:rPr>
          <w:rFonts w:hint="eastAsia"/>
          <w:lang w:eastAsia="zh-CN"/>
        </w:rPr>
        <w:t>7.3 标准安全要求</w:t>
      </w:r>
      <w:bookmarkEnd w:id="35"/>
    </w:p>
    <w:p w14:paraId="20A08D4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前端权限只用于界面控制，服务端必须对每次查询和写操作校验身份、角色、模块和数据范围。</w:t>
      </w:r>
    </w:p>
    <w:p w14:paraId="7E8D0EF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Cookie 应设置 Secure、SameSite 和合理有效期；如架构允许，应使用 HttpOnly 会话令牌。</w:t>
      </w:r>
    </w:p>
    <w:p w14:paraId="547FF91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密码不得出现在日志、异常消息、浏览器存储、截图和文档中。</w:t>
      </w:r>
    </w:p>
    <w:p w14:paraId="78D276AA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所有写操作记录操作人、模块、业务主键、动作、时间、结果和必要的变更摘要。</w:t>
      </w:r>
    </w:p>
    <w:p w14:paraId="7E7776F8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高风险操作包括删除、订单关闭、任务重置、工时修正、批量下发和质量放行，应增加二次确认与权限分离。</w:t>
      </w:r>
    </w:p>
    <w:p w14:paraId="7BE1F2D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定期复核停用账号、重复角色、过宽菜单和长期未使用权限。</w:t>
      </w:r>
    </w:p>
    <w:p w14:paraId="0C73A892">
      <w:pPr>
        <w:pStyle w:val="3"/>
        <w:bidi w:val="0"/>
        <w:rPr>
          <w:rFonts w:hint="eastAsia"/>
          <w:lang w:eastAsia="zh-CN"/>
        </w:rPr>
      </w:pPr>
      <w:bookmarkStart w:id="36" w:name="_Toc5737"/>
      <w:r>
        <w:rPr>
          <w:rFonts w:hint="eastAsia"/>
          <w:lang w:eastAsia="zh-CN"/>
        </w:rPr>
        <w:t>7.4 当前风险与改进优先级</w:t>
      </w:r>
      <w:bookmarkEnd w:id="36"/>
    </w:p>
    <w:tbl>
      <w:tblPr>
        <w:tblStyle w:val="10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21"/>
        <w:gridCol w:w="4026"/>
        <w:gridCol w:w="4593"/>
      </w:tblGrid>
      <w:tr w14:paraId="337C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021" w:type="dxa"/>
            <w:vAlign w:val="center"/>
          </w:tcPr>
          <w:p w14:paraId="0EAE76C9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级别</w:t>
            </w:r>
          </w:p>
        </w:tc>
        <w:tc>
          <w:tcPr>
            <w:tcW w:w="4026" w:type="dxa"/>
            <w:vAlign w:val="center"/>
          </w:tcPr>
          <w:p w14:paraId="71D38D49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现状观察</w:t>
            </w:r>
          </w:p>
        </w:tc>
        <w:tc>
          <w:tcPr>
            <w:tcW w:w="4593" w:type="dxa"/>
            <w:vAlign w:val="center"/>
          </w:tcPr>
          <w:p w14:paraId="3F9E49FE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建议</w:t>
            </w:r>
          </w:p>
        </w:tc>
      </w:tr>
      <w:tr w14:paraId="0B79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6D97E2A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高</w:t>
            </w:r>
          </w:p>
        </w:tc>
        <w:tc>
          <w:tcPr>
            <w:tcW w:w="4026" w:type="dxa"/>
            <w:vAlign w:val="center"/>
          </w:tcPr>
          <w:p w14:paraId="6100985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角色编号存于可由前端读取的 Cookie，前端路由守卫将 roles 固定为 admin</w:t>
            </w:r>
          </w:p>
        </w:tc>
        <w:tc>
          <w:tcPr>
            <w:tcW w:w="4593" w:type="dxa"/>
            <w:vAlign w:val="center"/>
          </w:tcPr>
          <w:p w14:paraId="0D246AF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确保服务端基于可信会话重新鉴权；评估更安全的令牌与 Cookie 属性</w:t>
            </w:r>
          </w:p>
        </w:tc>
      </w:tr>
      <w:tr w14:paraId="7AF4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324650D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高</w:t>
            </w:r>
          </w:p>
        </w:tc>
        <w:tc>
          <w:tcPr>
            <w:tcW w:w="4026" w:type="dxa"/>
            <w:vAlign w:val="center"/>
          </w:tcPr>
          <w:p w14:paraId="2CC1486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正式端点直接写在 static/config.js，AGV 使用 HTTP</w:t>
            </w:r>
          </w:p>
        </w:tc>
        <w:tc>
          <w:tcPr>
            <w:tcW w:w="4593" w:type="dxa"/>
            <w:vAlign w:val="center"/>
          </w:tcPr>
          <w:p w14:paraId="3C1EDCF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端点环境化并限制网络来源；AGV 使用 HTTPS 或隔离网络</w:t>
            </w:r>
          </w:p>
        </w:tc>
      </w:tr>
      <w:tr w14:paraId="0953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5D07DB7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中</w:t>
            </w:r>
          </w:p>
        </w:tc>
        <w:tc>
          <w:tcPr>
            <w:tcW w:w="4026" w:type="dxa"/>
            <w:vAlign w:val="center"/>
          </w:tcPr>
          <w:p w14:paraId="3FF3AE1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MES 通用 Axios 超时为1,500,000毫秒（25分钟）</w:t>
            </w:r>
          </w:p>
        </w:tc>
        <w:tc>
          <w:tcPr>
            <w:tcW w:w="4593" w:type="dxa"/>
            <w:vAlign w:val="center"/>
          </w:tcPr>
          <w:p w14:paraId="7E39261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按业务分类设置超时、取消请求和服务端作业化</w:t>
            </w:r>
          </w:p>
        </w:tc>
      </w:tr>
      <w:tr w14:paraId="1968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5CA361C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中</w:t>
            </w:r>
          </w:p>
        </w:tc>
        <w:tc>
          <w:tcPr>
            <w:tcW w:w="4026" w:type="dxa"/>
            <w:vAlign w:val="center"/>
          </w:tcPr>
          <w:p w14:paraId="556D4B8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部分源码中文注释显示编码异常</w:t>
            </w:r>
          </w:p>
        </w:tc>
        <w:tc>
          <w:tcPr>
            <w:tcW w:w="4593" w:type="dxa"/>
            <w:vAlign w:val="center"/>
          </w:tcPr>
          <w:p w14:paraId="4063692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统一 UTF-8，禁止乱码进入新提交</w:t>
            </w:r>
          </w:p>
        </w:tc>
      </w:tr>
      <w:tr w14:paraId="5E27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6E769BD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中</w:t>
            </w:r>
          </w:p>
        </w:tc>
        <w:tc>
          <w:tcPr>
            <w:tcW w:w="4026" w:type="dxa"/>
            <w:vAlign w:val="center"/>
          </w:tcPr>
          <w:p w14:paraId="123B86E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页面与数据库过程高度耦合</w:t>
            </w:r>
          </w:p>
        </w:tc>
        <w:tc>
          <w:tcPr>
            <w:tcW w:w="4593" w:type="dxa"/>
            <w:vAlign w:val="center"/>
          </w:tcPr>
          <w:p w14:paraId="7ACD8B5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建立接口契约、回归测试和变更影响清单</w:t>
            </w:r>
          </w:p>
        </w:tc>
      </w:tr>
    </w:tbl>
    <w:p w14:paraId="1094E08D">
      <w:pPr>
        <w:bidi w:val="0"/>
        <w:rPr>
          <w:rFonts w:hint="default"/>
          <w:lang w:eastAsia="zh-CN"/>
        </w:rPr>
      </w:pPr>
    </w:p>
    <w:p w14:paraId="43E535FB">
      <w:pPr>
        <w:pStyle w:val="2"/>
        <w:bidi w:val="0"/>
        <w:rPr>
          <w:rFonts w:hint="eastAsia"/>
          <w:lang w:eastAsia="zh-CN"/>
        </w:rPr>
      </w:pPr>
      <w:bookmarkStart w:id="37" w:name="_Toc10159"/>
      <w:r>
        <w:rPr>
          <w:rFonts w:hint="eastAsia"/>
          <w:lang w:eastAsia="zh-CN"/>
        </w:rPr>
        <w:t>8 请求与接口设计</w:t>
      </w:r>
      <w:bookmarkEnd w:id="37"/>
    </w:p>
    <w:p w14:paraId="5D5F3AD0">
      <w:pPr>
        <w:pStyle w:val="3"/>
        <w:bidi w:val="0"/>
        <w:rPr>
          <w:rFonts w:hint="eastAsia"/>
          <w:lang w:eastAsia="zh-CN"/>
        </w:rPr>
      </w:pPr>
      <w:bookmarkStart w:id="38" w:name="_Toc29871"/>
      <w:r>
        <w:rPr>
          <w:rFonts w:hint="eastAsia"/>
          <w:lang w:eastAsia="zh-CN"/>
        </w:rPr>
        <w:t>8.1 MES 通用请求</w:t>
      </w:r>
      <w:bookmarkEnd w:id="38"/>
    </w:p>
    <w:p w14:paraId="0D4BC273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常规页面通过统一服务地址 POST JSON。CreateData 将过程执行所需信息序列化，并补充当前用户和页面上下文。不同历史模块存在多个 type 编号，维护时应以对应服务端实现和现有页面为准，不得仅凭编号推断读写性质。</w:t>
      </w:r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3402"/>
        <w:gridCol w:w="4253"/>
      </w:tblGrid>
      <w:tr w14:paraId="27408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249E2C9C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字段</w:t>
            </w:r>
          </w:p>
        </w:tc>
        <w:tc>
          <w:tcPr>
            <w:tcW w:w="3402" w:type="dxa"/>
            <w:vAlign w:val="center"/>
          </w:tcPr>
          <w:p w14:paraId="2F30238C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含义</w:t>
            </w:r>
          </w:p>
        </w:tc>
        <w:tc>
          <w:tcPr>
            <w:tcW w:w="4253" w:type="dxa"/>
            <w:vAlign w:val="center"/>
          </w:tcPr>
          <w:p w14:paraId="77B1AA7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标准要求</w:t>
            </w:r>
          </w:p>
        </w:tc>
      </w:tr>
      <w:tr w14:paraId="18EE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6C2DF79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type</w:t>
            </w:r>
          </w:p>
        </w:tc>
        <w:tc>
          <w:tcPr>
            <w:tcW w:w="3402" w:type="dxa"/>
            <w:vAlign w:val="center"/>
          </w:tcPr>
          <w:p w14:paraId="43D400BC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后端执行/返回策略标识</w:t>
            </w:r>
          </w:p>
        </w:tc>
        <w:tc>
          <w:tcPr>
            <w:tcW w:w="4253" w:type="dxa"/>
            <w:vAlign w:val="center"/>
          </w:tcPr>
          <w:p w14:paraId="29BE1A6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新增类型必须形成接口契约</w:t>
            </w:r>
          </w:p>
        </w:tc>
      </w:tr>
      <w:tr w14:paraId="61A63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15B9625A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name</w:t>
            </w:r>
          </w:p>
        </w:tc>
        <w:tc>
          <w:tcPr>
            <w:tcW w:w="3402" w:type="dxa"/>
            <w:vAlign w:val="center"/>
          </w:tcPr>
          <w:p w14:paraId="325A52C6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服务端过程或业务命令名称</w:t>
            </w:r>
          </w:p>
        </w:tc>
        <w:tc>
          <w:tcPr>
            <w:tcW w:w="4253" w:type="dxa"/>
            <w:vAlign w:val="center"/>
          </w:tcPr>
          <w:p w14:paraId="6E26EA9E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禁止由最终用户自由输入</w:t>
            </w:r>
          </w:p>
        </w:tc>
      </w:tr>
      <w:tr w14:paraId="6E81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1E742AB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param</w:t>
            </w:r>
          </w:p>
        </w:tc>
        <w:tc>
          <w:tcPr>
            <w:tcW w:w="3402" w:type="dxa"/>
            <w:vAlign w:val="center"/>
          </w:tcPr>
          <w:p w14:paraId="3AC55E74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参数数组序列化结果</w:t>
            </w:r>
          </w:p>
        </w:tc>
        <w:tc>
          <w:tcPr>
            <w:tcW w:w="4253" w:type="dxa"/>
            <w:vAlign w:val="center"/>
          </w:tcPr>
          <w:p w14:paraId="31281588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参数化执行，禁止拼接 SQL</w:t>
            </w:r>
          </w:p>
        </w:tc>
      </w:tr>
      <w:tr w14:paraId="7703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63F4057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pageSize / pageList</w:t>
            </w:r>
          </w:p>
        </w:tc>
        <w:tc>
          <w:tcPr>
            <w:tcW w:w="3402" w:type="dxa"/>
            <w:vAlign w:val="center"/>
          </w:tcPr>
          <w:p w14:paraId="376EEE49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分页和页码信息</w:t>
            </w:r>
          </w:p>
        </w:tc>
        <w:tc>
          <w:tcPr>
            <w:tcW w:w="4253" w:type="dxa"/>
            <w:vAlign w:val="center"/>
          </w:tcPr>
          <w:p w14:paraId="2E927CD5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大数据查询必须分页</w:t>
            </w:r>
          </w:p>
        </w:tc>
      </w:tr>
      <w:tr w14:paraId="5430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F5FE394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UserID / UserName</w:t>
            </w:r>
          </w:p>
        </w:tc>
        <w:tc>
          <w:tcPr>
            <w:tcW w:w="3402" w:type="dxa"/>
            <w:vAlign w:val="center"/>
          </w:tcPr>
          <w:p w14:paraId="1805A7BD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操作用户上下文</w:t>
            </w:r>
          </w:p>
        </w:tc>
        <w:tc>
          <w:tcPr>
            <w:tcW w:w="4253" w:type="dxa"/>
            <w:vAlign w:val="center"/>
          </w:tcPr>
          <w:p w14:paraId="3BE0CE6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服务端从可信身份核验，不可盲信</w:t>
            </w:r>
          </w:p>
        </w:tc>
      </w:tr>
      <w:tr w14:paraId="5378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49C96E4B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ModularID</w:t>
            </w:r>
          </w:p>
        </w:tc>
        <w:tc>
          <w:tcPr>
            <w:tcW w:w="3402" w:type="dxa"/>
            <w:vAlign w:val="center"/>
          </w:tcPr>
          <w:p w14:paraId="3CEDD6CB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当前页面路由/模块标识</w:t>
            </w:r>
          </w:p>
        </w:tc>
        <w:tc>
          <w:tcPr>
            <w:tcW w:w="4253" w:type="dxa"/>
            <w:vAlign w:val="center"/>
          </w:tcPr>
          <w:p w14:paraId="6FA6E89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用于权限和审计，必须与授权菜单匹配</w:t>
            </w:r>
          </w:p>
        </w:tc>
      </w:tr>
    </w:tbl>
    <w:p w14:paraId="52AFE00E">
      <w:pPr>
        <w:bidi w:val="0"/>
        <w:spacing w:after="120"/>
        <w:ind w:firstLine="42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620DDEC3">
      <w:pPr>
        <w:pStyle w:val="3"/>
        <w:bidi w:val="0"/>
        <w:rPr>
          <w:rFonts w:hint="eastAsia"/>
          <w:lang w:eastAsia="zh-CN"/>
        </w:rPr>
      </w:pPr>
      <w:bookmarkStart w:id="39" w:name="_Toc32679"/>
      <w:r>
        <w:rPr>
          <w:rFonts w:hint="eastAsia"/>
          <w:lang w:eastAsia="zh-CN"/>
        </w:rPr>
        <w:t>8.2 SAP B1 与 TM 代理</w:t>
      </w:r>
      <w:bookmarkEnd w:id="39"/>
    </w:p>
    <w:p w14:paraId="451BE28B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b1s.js 和 tm.js 将外部 GET、POST、PATCH 统一封装为对代理服务的 POST，请求体包含 func、cmd 和序列化 content。代理层负责与真正外部接口通信并返回结果。该设计避免浏览器直接保存 SAP 凭据，但仍需在代理层实施命令白名单、权限、超时和日志。</w:t>
      </w:r>
    </w:p>
    <w:tbl>
      <w:tblPr>
        <w:tblStyle w:val="10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1361"/>
        <w:gridCol w:w="3119"/>
        <w:gridCol w:w="3459"/>
      </w:tblGrid>
      <w:tr w14:paraId="6CB4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01" w:type="dxa"/>
            <w:vAlign w:val="center"/>
          </w:tcPr>
          <w:p w14:paraId="5B19675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接口族</w:t>
            </w:r>
          </w:p>
        </w:tc>
        <w:tc>
          <w:tcPr>
            <w:tcW w:w="1361" w:type="dxa"/>
            <w:vAlign w:val="center"/>
          </w:tcPr>
          <w:p w14:paraId="2701CA4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超时</w:t>
            </w:r>
          </w:p>
        </w:tc>
        <w:tc>
          <w:tcPr>
            <w:tcW w:w="3119" w:type="dxa"/>
            <w:vAlign w:val="center"/>
          </w:tcPr>
          <w:p w14:paraId="60AF929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成功返回</w:t>
            </w:r>
          </w:p>
        </w:tc>
        <w:tc>
          <w:tcPr>
            <w:tcW w:w="3459" w:type="dxa"/>
            <w:vAlign w:val="center"/>
          </w:tcPr>
          <w:p w14:paraId="67B1459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color w:val="000000"/>
                <w:sz w:val="17"/>
                <w:vertAlign w:val="baseline"/>
                <w:lang w:eastAsia="zh-CN"/>
              </w:rPr>
              <w:t>失败处理</w:t>
            </w:r>
          </w:p>
        </w:tc>
      </w:tr>
      <w:tr w14:paraId="72A40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59CBA46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B1 代理</w:t>
            </w:r>
          </w:p>
        </w:tc>
        <w:tc>
          <w:tcPr>
            <w:tcW w:w="1361" w:type="dxa"/>
            <w:vAlign w:val="center"/>
          </w:tcPr>
          <w:p w14:paraId="200F0CCE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100秒</w:t>
            </w:r>
          </w:p>
        </w:tc>
        <w:tc>
          <w:tcPr>
            <w:tcW w:w="3119" w:type="dxa"/>
            <w:vAlign w:val="center"/>
          </w:tcPr>
          <w:p w14:paraId="2CBBA276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{ success: true, data }</w:t>
            </w:r>
          </w:p>
        </w:tc>
        <w:tc>
          <w:tcPr>
            <w:tcW w:w="3459" w:type="dxa"/>
            <w:vAlign w:val="center"/>
          </w:tcPr>
          <w:p w14:paraId="784378DF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提取 SAP error.message 或网络错误</w:t>
            </w:r>
          </w:p>
        </w:tc>
      </w:tr>
      <w:tr w14:paraId="00EF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275314D4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TM 代理</w:t>
            </w:r>
          </w:p>
        </w:tc>
        <w:tc>
          <w:tcPr>
            <w:tcW w:w="1361" w:type="dxa"/>
            <w:vAlign w:val="center"/>
          </w:tcPr>
          <w:p w14:paraId="59098B2D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100秒</w:t>
            </w:r>
          </w:p>
        </w:tc>
        <w:tc>
          <w:tcPr>
            <w:tcW w:w="3119" w:type="dxa"/>
            <w:vAlign w:val="center"/>
          </w:tcPr>
          <w:p w14:paraId="5E91CA03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{ success: true, data }</w:t>
            </w:r>
          </w:p>
        </w:tc>
        <w:tc>
          <w:tcPr>
            <w:tcW w:w="3459" w:type="dxa"/>
            <w:vAlign w:val="center"/>
          </w:tcPr>
          <w:p w14:paraId="3D5A0075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复用相同错误提取逻辑</w:t>
            </w:r>
          </w:p>
        </w:tc>
      </w:tr>
      <w:tr w14:paraId="2419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3D5B66AD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MES 通用接口</w:t>
            </w:r>
          </w:p>
        </w:tc>
        <w:tc>
          <w:tcPr>
            <w:tcW w:w="1361" w:type="dxa"/>
            <w:vAlign w:val="center"/>
          </w:tcPr>
          <w:p w14:paraId="495DCD4A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1500秒</w:t>
            </w:r>
          </w:p>
        </w:tc>
        <w:tc>
          <w:tcPr>
            <w:tcW w:w="3119" w:type="dxa"/>
            <w:vAlign w:val="center"/>
          </w:tcPr>
          <w:p w14:paraId="6D49EC37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Axios response</w:t>
            </w:r>
          </w:p>
        </w:tc>
        <w:tc>
          <w:tcPr>
            <w:tcW w:w="3459" w:type="dxa"/>
            <w:vAlign w:val="center"/>
          </w:tcPr>
          <w:p w14:paraId="69901627">
            <w:pPr>
              <w:keepNext/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当前统一实例未集中定义响应拦截器</w:t>
            </w:r>
          </w:p>
        </w:tc>
      </w:tr>
      <w:tr w14:paraId="5547F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581B2CC7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AGV</w:t>
            </w:r>
          </w:p>
        </w:tc>
        <w:tc>
          <w:tcPr>
            <w:tcW w:w="1361" w:type="dxa"/>
            <w:vAlign w:val="center"/>
          </w:tcPr>
          <w:p w14:paraId="1200FB7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页面 Axios 默认行为</w:t>
            </w:r>
          </w:p>
        </w:tc>
        <w:tc>
          <w:tcPr>
            <w:tcW w:w="3119" w:type="dxa"/>
            <w:vAlign w:val="center"/>
          </w:tcPr>
          <w:p w14:paraId="0B73D84E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校验返回 ids 包含任务号</w:t>
            </w:r>
          </w:p>
        </w:tc>
        <w:tc>
          <w:tcPr>
            <w:tcW w:w="3459" w:type="dxa"/>
            <w:vAlign w:val="center"/>
          </w:tcPr>
          <w:p w14:paraId="76B784C3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7"/>
                <w:vertAlign w:val="baseline"/>
                <w:lang w:eastAsia="zh-CN"/>
              </w:rPr>
              <w:t>失败后不应更新 MES 任务为 RUNNING</w:t>
            </w:r>
          </w:p>
        </w:tc>
      </w:tr>
    </w:tbl>
    <w:p w14:paraId="46AC2394">
      <w:pPr>
        <w:bidi w:val="0"/>
        <w:spacing w:after="120"/>
        <w:ind w:firstLine="42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59C2323C">
      <w:pPr>
        <w:pStyle w:val="3"/>
        <w:bidi w:val="0"/>
        <w:rPr>
          <w:rFonts w:hint="eastAsia"/>
          <w:lang w:eastAsia="zh-CN"/>
        </w:rPr>
      </w:pPr>
      <w:bookmarkStart w:id="40" w:name="_Toc27525"/>
      <w:r>
        <w:rPr>
          <w:rFonts w:hint="eastAsia"/>
          <w:lang w:eastAsia="zh-CN"/>
        </w:rPr>
        <w:t>8.3 接口标准</w:t>
      </w:r>
      <w:bookmarkEnd w:id="40"/>
    </w:p>
    <w:p w14:paraId="5C2EF8F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所有写接口必须定义业务主键、幂等规则、允许状态、数量边界和事务范围。</w:t>
      </w:r>
    </w:p>
    <w:p w14:paraId="40F2F436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统一返回结构至少包含 success/code/message/data/traceId；业务失败不使用模糊的“操作失败”。</w:t>
      </w:r>
    </w:p>
    <w:p w14:paraId="6C9F691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查询接口明确分页、排序、最大导出量和日期范围；导出应与查询权限一致。</w:t>
      </w:r>
    </w:p>
    <w:p w14:paraId="55FDEC24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跨系统调用记录请求时间、目标系统、业务编号、结果码和耗时，但对密码、令牌、个人敏感信息脱敏。</w:t>
      </w:r>
    </w:p>
    <w:p w14:paraId="3A9E9C18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对网络超时、重复提交和外部系统成功但 MES 更新失败定义补偿或人工对账流程。</w:t>
      </w:r>
    </w:p>
    <w:p w14:paraId="05E4BAD7">
      <w:pPr>
        <w:pStyle w:val="2"/>
        <w:bidi w:val="0"/>
        <w:rPr>
          <w:rFonts w:hint="eastAsia"/>
          <w:lang w:eastAsia="zh-CN"/>
        </w:rPr>
      </w:pPr>
      <w:bookmarkStart w:id="41" w:name="_Toc6538"/>
      <w:r>
        <w:rPr>
          <w:rFonts w:hint="eastAsia"/>
          <w:lang w:eastAsia="zh-CN"/>
        </w:rPr>
        <w:t>9 数据架构</w:t>
      </w:r>
      <w:bookmarkEnd w:id="41"/>
    </w:p>
    <w:p w14:paraId="54DC47D7">
      <w:pPr>
        <w:pStyle w:val="3"/>
        <w:bidi w:val="0"/>
        <w:rPr>
          <w:rFonts w:hint="eastAsia"/>
          <w:lang w:eastAsia="zh-CN"/>
        </w:rPr>
      </w:pPr>
      <w:bookmarkStart w:id="42" w:name="_Toc13003"/>
      <w:r>
        <w:rPr>
          <w:rFonts w:hint="eastAsia"/>
          <w:lang w:eastAsia="zh-CN"/>
        </w:rPr>
        <w:t>9.1 正式数据库基线</w:t>
      </w:r>
      <w:bookmarkEnd w:id="42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3062"/>
        <w:gridCol w:w="4309"/>
      </w:tblGrid>
      <w:tr w14:paraId="5B6E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268" w:type="dxa"/>
            <w:vAlign w:val="center"/>
          </w:tcPr>
          <w:p w14:paraId="6199120F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3062" w:type="dxa"/>
            <w:vAlign w:val="center"/>
          </w:tcPr>
          <w:p w14:paraId="0D29DBCF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当前值</w:t>
            </w:r>
          </w:p>
        </w:tc>
        <w:tc>
          <w:tcPr>
            <w:tcW w:w="4309" w:type="dxa"/>
            <w:vAlign w:val="center"/>
          </w:tcPr>
          <w:p w14:paraId="54F057CE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B0F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6413ED8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</w:t>
            </w:r>
          </w:p>
        </w:tc>
        <w:tc>
          <w:tcPr>
            <w:tcW w:w="3062" w:type="dxa"/>
            <w:vAlign w:val="center"/>
          </w:tcPr>
          <w:p w14:paraId="15528C1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YL_MESDB</w:t>
            </w:r>
          </w:p>
        </w:tc>
        <w:tc>
          <w:tcPr>
            <w:tcW w:w="4309" w:type="dxa"/>
            <w:vAlign w:val="center"/>
          </w:tcPr>
          <w:p w14:paraId="48F0E09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 主业务数据库</w:t>
            </w:r>
          </w:p>
        </w:tc>
      </w:tr>
      <w:tr w14:paraId="2712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C905C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数据库引擎</w:t>
            </w:r>
          </w:p>
        </w:tc>
        <w:tc>
          <w:tcPr>
            <w:tcW w:w="3062" w:type="dxa"/>
            <w:vAlign w:val="center"/>
          </w:tcPr>
          <w:p w14:paraId="254CD97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SQL Server 2019 RTM 15.0.2000.5</w:t>
            </w:r>
          </w:p>
        </w:tc>
        <w:tc>
          <w:tcPr>
            <w:tcW w:w="4309" w:type="dxa"/>
            <w:vAlign w:val="center"/>
          </w:tcPr>
          <w:p w14:paraId="4976B00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建议评估累计更新补丁</w:t>
            </w:r>
          </w:p>
        </w:tc>
      </w:tr>
      <w:tr w14:paraId="388F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89EA83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兼容级别</w:t>
            </w:r>
          </w:p>
        </w:tc>
        <w:tc>
          <w:tcPr>
            <w:tcW w:w="3062" w:type="dxa"/>
            <w:vAlign w:val="center"/>
          </w:tcPr>
          <w:p w14:paraId="09455ED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150</w:t>
            </w:r>
          </w:p>
        </w:tc>
        <w:tc>
          <w:tcPr>
            <w:tcW w:w="4309" w:type="dxa"/>
            <w:vAlign w:val="center"/>
          </w:tcPr>
          <w:p w14:paraId="3F87FF3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SQL Server 2019</w:t>
            </w:r>
          </w:p>
        </w:tc>
      </w:tr>
      <w:tr w14:paraId="3016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EB04D9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排序规则</w:t>
            </w:r>
          </w:p>
        </w:tc>
        <w:tc>
          <w:tcPr>
            <w:tcW w:w="3062" w:type="dxa"/>
            <w:vAlign w:val="center"/>
          </w:tcPr>
          <w:p w14:paraId="79B6D2B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Chinese_PRC_CI_AS</w:t>
            </w:r>
          </w:p>
        </w:tc>
        <w:tc>
          <w:tcPr>
            <w:tcW w:w="4309" w:type="dxa"/>
            <w:vAlign w:val="center"/>
          </w:tcPr>
          <w:p w14:paraId="13B7249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中文、不区分大小写、不区分重音</w:t>
            </w:r>
          </w:p>
        </w:tc>
      </w:tr>
      <w:tr w14:paraId="5AB0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211EB1E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恢复模式</w:t>
            </w:r>
          </w:p>
        </w:tc>
        <w:tc>
          <w:tcPr>
            <w:tcW w:w="3062" w:type="dxa"/>
            <w:vAlign w:val="center"/>
          </w:tcPr>
          <w:p w14:paraId="3D21020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SIMPLE</w:t>
            </w:r>
          </w:p>
        </w:tc>
        <w:tc>
          <w:tcPr>
            <w:tcW w:w="4309" w:type="dxa"/>
            <w:vAlign w:val="center"/>
          </w:tcPr>
          <w:p w14:paraId="082D3D3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当前不支持日志链上的时间点恢复</w:t>
            </w:r>
          </w:p>
        </w:tc>
      </w:tr>
      <w:tr w14:paraId="63A1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57E0566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用户表 / 视图</w:t>
            </w:r>
          </w:p>
        </w:tc>
        <w:tc>
          <w:tcPr>
            <w:tcW w:w="3062" w:type="dxa"/>
            <w:vAlign w:val="center"/>
          </w:tcPr>
          <w:p w14:paraId="6EB3836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61 / 27</w:t>
            </w:r>
          </w:p>
        </w:tc>
        <w:tc>
          <w:tcPr>
            <w:tcW w:w="4309" w:type="dxa"/>
            <w:vAlign w:val="center"/>
          </w:tcPr>
          <w:p w14:paraId="1DD245E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只读元数据统计</w:t>
            </w:r>
          </w:p>
        </w:tc>
      </w:tr>
      <w:tr w14:paraId="5C72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D4E92D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存储过程 / 函数</w:t>
            </w:r>
          </w:p>
        </w:tc>
        <w:tc>
          <w:tcPr>
            <w:tcW w:w="3062" w:type="dxa"/>
            <w:vAlign w:val="center"/>
          </w:tcPr>
          <w:p w14:paraId="53F3CC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425 / 2</w:t>
            </w:r>
          </w:p>
        </w:tc>
        <w:tc>
          <w:tcPr>
            <w:tcW w:w="4309" w:type="dxa"/>
            <w:vAlign w:val="center"/>
          </w:tcPr>
          <w:p w14:paraId="715ACA3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业务逻辑主要集中在过程层</w:t>
            </w:r>
          </w:p>
        </w:tc>
      </w:tr>
      <w:tr w14:paraId="2D4C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C9DDAA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容量</w:t>
            </w:r>
          </w:p>
        </w:tc>
        <w:tc>
          <w:tcPr>
            <w:tcW w:w="3062" w:type="dxa"/>
            <w:vAlign w:val="center"/>
          </w:tcPr>
          <w:p w14:paraId="0AF59EB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总计约19.44 GB</w:t>
            </w:r>
          </w:p>
        </w:tc>
        <w:tc>
          <w:tcPr>
            <w:tcW w:w="4309" w:type="dxa"/>
            <w:vAlign w:val="center"/>
          </w:tcPr>
          <w:p w14:paraId="14BF5B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数据约16.62 GB、日志约2.82 GB</w:t>
            </w:r>
          </w:p>
        </w:tc>
      </w:tr>
    </w:tbl>
    <w:p w14:paraId="18A0F5FE">
      <w:pPr>
        <w:bidi w:val="0"/>
        <w:rPr>
          <w:rFonts w:hint="default"/>
          <w:lang w:eastAsia="zh-CN"/>
        </w:rPr>
      </w:pPr>
    </w:p>
    <w:p w14:paraId="0BD152F5">
      <w:pPr>
        <w:pStyle w:val="3"/>
        <w:bidi w:val="0"/>
        <w:rPr>
          <w:rFonts w:hint="eastAsia"/>
          <w:lang w:eastAsia="zh-CN"/>
        </w:rPr>
      </w:pPr>
      <w:bookmarkStart w:id="43" w:name="_Toc21644"/>
      <w:r>
        <w:rPr>
          <w:rFonts w:hint="eastAsia"/>
          <w:lang w:eastAsia="zh-CN"/>
        </w:rPr>
        <w:t>9.2 核心数据域</w:t>
      </w:r>
      <w:bookmarkEnd w:id="43"/>
    </w:p>
    <w:tbl>
      <w:tblPr>
        <w:tblStyle w:val="10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3742"/>
        <w:gridCol w:w="4082"/>
      </w:tblGrid>
      <w:tr w14:paraId="751B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814" w:type="dxa"/>
            <w:vAlign w:val="center"/>
          </w:tcPr>
          <w:p w14:paraId="439E705E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数据域</w:t>
            </w:r>
          </w:p>
        </w:tc>
        <w:tc>
          <w:tcPr>
            <w:tcW w:w="3742" w:type="dxa"/>
            <w:vAlign w:val="center"/>
          </w:tcPr>
          <w:p w14:paraId="3A017F65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代表性对象</w:t>
            </w:r>
          </w:p>
        </w:tc>
        <w:tc>
          <w:tcPr>
            <w:tcW w:w="4082" w:type="dxa"/>
            <w:vAlign w:val="center"/>
          </w:tcPr>
          <w:p w14:paraId="6639D2D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关键关系</w:t>
            </w:r>
          </w:p>
        </w:tc>
      </w:tr>
      <w:tr w14:paraId="7503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26A57D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订单与任务</w:t>
            </w:r>
          </w:p>
        </w:tc>
        <w:tc>
          <w:tcPr>
            <w:tcW w:w="3742" w:type="dxa"/>
            <w:vAlign w:val="center"/>
          </w:tcPr>
          <w:p w14:paraId="0C04D99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MES_接口_生产计划、生产任务、子任务</w:t>
            </w:r>
          </w:p>
        </w:tc>
        <w:tc>
          <w:tcPr>
            <w:tcW w:w="4082" w:type="dxa"/>
            <w:vAlign w:val="center"/>
          </w:tcPr>
          <w:p w14:paraId="37D6F4F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订单拆分为工序任务，任务关联工艺、工位、人员和数量</w:t>
            </w:r>
          </w:p>
        </w:tc>
      </w:tr>
      <w:tr w14:paraId="025B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BA0441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工艺与图纸</w:t>
            </w:r>
          </w:p>
        </w:tc>
        <w:tc>
          <w:tcPr>
            <w:tcW w:w="3742" w:type="dxa"/>
            <w:vAlign w:val="center"/>
          </w:tcPr>
          <w:p w14:paraId="57666E6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基础表_工序、标准工艺库、生产工艺库、零件/工艺图纸</w:t>
            </w:r>
          </w:p>
        </w:tc>
        <w:tc>
          <w:tcPr>
            <w:tcW w:w="4082" w:type="dxa"/>
            <w:vAlign w:val="center"/>
          </w:tcPr>
          <w:p w14:paraId="4B045C5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标准工艺可生成订单工艺，订单工艺下发任务</w:t>
            </w:r>
          </w:p>
        </w:tc>
      </w:tr>
      <w:tr w14:paraId="7CB3E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59BA45F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生产与工时</w:t>
            </w:r>
          </w:p>
        </w:tc>
        <w:tc>
          <w:tcPr>
            <w:tcW w:w="3742" w:type="dxa"/>
            <w:vAlign w:val="center"/>
          </w:tcPr>
          <w:p w14:paraId="718F68F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操作记录、报工记录、工时校验表</w:t>
            </w:r>
          </w:p>
        </w:tc>
        <w:tc>
          <w:tcPr>
            <w:tcW w:w="4082" w:type="dxa"/>
            <w:vAlign w:val="center"/>
          </w:tcPr>
          <w:p w14:paraId="3AE6C0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开始/暂停/结束形成时段，报工和校验形成结算依据</w:t>
            </w:r>
          </w:p>
        </w:tc>
      </w:tr>
      <w:tr w14:paraId="3816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9B6F19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质量</w:t>
            </w:r>
          </w:p>
        </w:tc>
        <w:tc>
          <w:tcPr>
            <w:tcW w:w="3742" w:type="dxa"/>
            <w:vAlign w:val="center"/>
          </w:tcPr>
          <w:p w14:paraId="08549F2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质检记录、检测零件、检测数据、检验标准、不合格处置</w:t>
            </w:r>
          </w:p>
        </w:tc>
        <w:tc>
          <w:tcPr>
            <w:tcW w:w="4082" w:type="dxa"/>
            <w:vAlign w:val="center"/>
          </w:tcPr>
          <w:p w14:paraId="072E65A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任务产生检验，检验结果影响后续流转和统计</w:t>
            </w:r>
          </w:p>
        </w:tc>
      </w:tr>
      <w:tr w14:paraId="41E1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5CD7579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资源</w:t>
            </w:r>
          </w:p>
        </w:tc>
        <w:tc>
          <w:tcPr>
            <w:tcW w:w="3742" w:type="dxa"/>
            <w:vAlign w:val="center"/>
          </w:tcPr>
          <w:p w14:paraId="69C3F7A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设备台账、资源主数据、工位人员绑定、班次</w:t>
            </w:r>
          </w:p>
        </w:tc>
        <w:tc>
          <w:tcPr>
            <w:tcW w:w="4082" w:type="dxa"/>
            <w:vAlign w:val="center"/>
          </w:tcPr>
          <w:p w14:paraId="23845B3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排产和执行以有效工位、设备、人员和班次为约束</w:t>
            </w:r>
          </w:p>
        </w:tc>
      </w:tr>
      <w:tr w14:paraId="7EF7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53ABC3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权限与审计</w:t>
            </w:r>
          </w:p>
        </w:tc>
        <w:tc>
          <w:tcPr>
            <w:tcW w:w="3742" w:type="dxa"/>
            <w:vAlign w:val="center"/>
          </w:tcPr>
          <w:p w14:paraId="6D824B9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人员、角色、人员角色、二级菜单、操作日志</w:t>
            </w:r>
          </w:p>
        </w:tc>
        <w:tc>
          <w:tcPr>
            <w:tcW w:w="4082" w:type="dxa"/>
            <w:vAlign w:val="center"/>
          </w:tcPr>
          <w:p w14:paraId="48456D0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账号经角色获得菜单与操作权限，业务请求留痕</w:t>
            </w:r>
          </w:p>
        </w:tc>
      </w:tr>
      <w:tr w14:paraId="4047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E51555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集成与缓存</w:t>
            </w:r>
          </w:p>
        </w:tc>
        <w:tc>
          <w:tcPr>
            <w:tcW w:w="3742" w:type="dxa"/>
            <w:vAlign w:val="center"/>
          </w:tcPr>
          <w:p w14:paraId="12CD862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物料、BOM、设备实时缓存、历史状态、附件</w:t>
            </w:r>
          </w:p>
        </w:tc>
        <w:tc>
          <w:tcPr>
            <w:tcW w:w="4082" w:type="dxa"/>
            <w:vAlign w:val="center"/>
          </w:tcPr>
          <w:p w14:paraId="4D4EE6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承接 SAP、设备、文件等外部数据</w:t>
            </w:r>
          </w:p>
        </w:tc>
      </w:tr>
    </w:tbl>
    <w:p w14:paraId="2C6B41AF">
      <w:pPr>
        <w:bidi w:val="0"/>
        <w:rPr>
          <w:rFonts w:hint="default"/>
          <w:lang w:eastAsia="zh-CN"/>
        </w:rPr>
      </w:pPr>
    </w:p>
    <w:p w14:paraId="7A243D24">
      <w:pPr>
        <w:pStyle w:val="3"/>
        <w:bidi w:val="0"/>
        <w:rPr>
          <w:rFonts w:hint="eastAsia"/>
          <w:lang w:eastAsia="zh-CN"/>
        </w:rPr>
      </w:pPr>
      <w:bookmarkStart w:id="44" w:name="_Toc24687"/>
      <w:r>
        <w:rPr>
          <w:rFonts w:hint="eastAsia"/>
          <w:lang w:eastAsia="zh-CN"/>
        </w:rPr>
        <w:t>9.3 关键状态模型</w:t>
      </w:r>
      <w:bookmarkEnd w:id="44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3969"/>
        <w:gridCol w:w="3856"/>
      </w:tblGrid>
      <w:tr w14:paraId="64B4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1814" w:type="dxa"/>
            <w:vAlign w:val="center"/>
          </w:tcPr>
          <w:p w14:paraId="4B7EDA76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对象</w:t>
            </w:r>
          </w:p>
        </w:tc>
        <w:tc>
          <w:tcPr>
            <w:tcW w:w="3969" w:type="dxa"/>
            <w:vAlign w:val="center"/>
          </w:tcPr>
          <w:p w14:paraId="1925099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典型状态/动作</w:t>
            </w:r>
          </w:p>
        </w:tc>
        <w:tc>
          <w:tcPr>
            <w:tcW w:w="3856" w:type="dxa"/>
            <w:vAlign w:val="center"/>
          </w:tcPr>
          <w:p w14:paraId="54FE7C8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控制要求</w:t>
            </w:r>
          </w:p>
        </w:tc>
      </w:tr>
      <w:tr w14:paraId="13C54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938719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3969" w:type="dxa"/>
            <w:vAlign w:val="center"/>
          </w:tcPr>
          <w:p w14:paraId="59DC1A9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未准备工艺 → 已准备工艺 → 已排产 → 执行中 → 完工/关闭</w:t>
            </w:r>
          </w:p>
        </w:tc>
        <w:tc>
          <w:tcPr>
            <w:tcW w:w="3856" w:type="dxa"/>
            <w:vAlign w:val="center"/>
          </w:tcPr>
          <w:p w14:paraId="58904BF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状态转换需检查工艺、任务、数量和未完成工时</w:t>
            </w:r>
          </w:p>
        </w:tc>
      </w:tr>
      <w:tr w14:paraId="7494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7AF736A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工序任务</w:t>
            </w:r>
          </w:p>
        </w:tc>
        <w:tc>
          <w:tcPr>
            <w:tcW w:w="3969" w:type="dxa"/>
            <w:vAlign w:val="center"/>
          </w:tcPr>
          <w:p w14:paraId="036D186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待下发/可执行 → 已开工 → 暂停/恢复 → 已报工/完成</w:t>
            </w:r>
          </w:p>
        </w:tc>
        <w:tc>
          <w:tcPr>
            <w:tcW w:w="3856" w:type="dxa"/>
            <w:vAlign w:val="center"/>
          </w:tcPr>
          <w:p w14:paraId="70440CF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重复开始、越量报工和跨状态操作必须拦截</w:t>
            </w:r>
          </w:p>
        </w:tc>
      </w:tr>
      <w:tr w14:paraId="49A1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223720F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</w:t>
            </w:r>
          </w:p>
        </w:tc>
        <w:tc>
          <w:tcPr>
            <w:tcW w:w="3969" w:type="dxa"/>
            <w:vAlign w:val="center"/>
          </w:tcPr>
          <w:p w14:paraId="0DB45BC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生成/编辑 → 保存启用 → 下发任务</w:t>
            </w:r>
          </w:p>
        </w:tc>
        <w:tc>
          <w:tcPr>
            <w:tcW w:w="3856" w:type="dxa"/>
            <w:vAlign w:val="center"/>
          </w:tcPr>
          <w:p w14:paraId="6243851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字段即时保存与整条启用要区分；结构变更后重新启用</w:t>
            </w:r>
          </w:p>
        </w:tc>
      </w:tr>
      <w:tr w14:paraId="4642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CC5B61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质检任务</w:t>
            </w:r>
          </w:p>
        </w:tc>
        <w:tc>
          <w:tcPr>
            <w:tcW w:w="3969" w:type="dxa"/>
            <w:vAlign w:val="center"/>
          </w:tcPr>
          <w:p w14:paraId="7D8A6B7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待检 → 检验中 → 合格/不合格 → 处置/放行</w:t>
            </w:r>
          </w:p>
        </w:tc>
        <w:tc>
          <w:tcPr>
            <w:tcW w:w="3856" w:type="dxa"/>
            <w:vAlign w:val="center"/>
          </w:tcPr>
          <w:p w14:paraId="560F59C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实测值、判定、数量和处置结果保持一致</w:t>
            </w:r>
          </w:p>
        </w:tc>
      </w:tr>
      <w:tr w14:paraId="05BD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1E44238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</w:t>
            </w:r>
          </w:p>
        </w:tc>
        <w:tc>
          <w:tcPr>
            <w:tcW w:w="3969" w:type="dxa"/>
            <w:vAlign w:val="center"/>
          </w:tcPr>
          <w:p w14:paraId="4D9ABA8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操作记录 → 计算工时 → 校验/修正 → 结算</w:t>
            </w:r>
          </w:p>
        </w:tc>
        <w:tc>
          <w:tcPr>
            <w:tcW w:w="3856" w:type="dxa"/>
            <w:vAlign w:val="center"/>
          </w:tcPr>
          <w:p w14:paraId="06E2A01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原始记录保留，修正需审计并可追溯</w:t>
            </w:r>
          </w:p>
        </w:tc>
      </w:tr>
    </w:tbl>
    <w:p w14:paraId="2433D7AC">
      <w:pPr>
        <w:bidi w:val="0"/>
        <w:rPr>
          <w:rFonts w:hint="default"/>
          <w:lang w:eastAsia="zh-CN"/>
        </w:rPr>
      </w:pPr>
    </w:p>
    <w:p w14:paraId="6C99F849">
      <w:pPr>
        <w:pStyle w:val="3"/>
        <w:bidi w:val="0"/>
        <w:rPr>
          <w:rFonts w:hint="eastAsia"/>
          <w:lang w:eastAsia="zh-CN"/>
        </w:rPr>
      </w:pPr>
      <w:bookmarkStart w:id="45" w:name="_Toc31807"/>
      <w:r>
        <w:rPr>
          <w:rFonts w:hint="eastAsia"/>
          <w:lang w:eastAsia="zh-CN"/>
        </w:rPr>
        <w:t>9.4 数据完整性与事务</w:t>
      </w:r>
      <w:bookmarkEnd w:id="45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570"/>
      </w:tblGrid>
      <w:tr w14:paraId="473A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70" w:type="dxa"/>
            <w:shd w:val="clear" w:color="auto" w:fill="F3E2D9"/>
          </w:tcPr>
          <w:p w14:paraId="3F81672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现状观察：61张用户表仅检测到8个外键约束，较多关联完整性可能由存储过程和业务代码维护。技术变更必须核对逻辑外键、孤儿数据和删除影响。</w:t>
            </w:r>
          </w:p>
        </w:tc>
      </w:tr>
    </w:tbl>
    <w:p w14:paraId="26A4B9A8">
      <w:pPr>
        <w:bidi w:val="0"/>
        <w:rPr>
          <w:rFonts w:hint="default"/>
          <w:lang w:eastAsia="zh-CN"/>
        </w:rPr>
      </w:pPr>
    </w:p>
    <w:p w14:paraId="6521D55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订单、任务、工艺、操作记录、报工和检验之间使用稳定业务主键关联。</w:t>
      </w:r>
    </w:p>
    <w:p w14:paraId="2B2B9DF8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批量下发、报工、检验保存、订单关闭等跨表写入在同一事务中完成。</w:t>
      </w:r>
    </w:p>
    <w:p w14:paraId="57CC7BEF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数量字段统一精度和单位，写入前校验非负、累计不超计划及合格/不合格合计关系。</w:t>
      </w:r>
    </w:p>
    <w:p w14:paraId="45B97044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删除优先采用业务停用或软删除；确需物理删除时先检查下游引用并记录审计。</w:t>
      </w:r>
    </w:p>
    <w:p w14:paraId="6ACD11D9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时间统一保存完整日期时间，明确计划时间、操作时间、服务器时间和班次边界。</w:t>
      </w:r>
    </w:p>
    <w:p w14:paraId="2E6DDD8B">
      <w:pPr>
        <w:pStyle w:val="3"/>
        <w:bidi w:val="0"/>
        <w:rPr>
          <w:rFonts w:hint="eastAsia"/>
          <w:lang w:eastAsia="zh-CN"/>
        </w:rPr>
      </w:pPr>
      <w:bookmarkStart w:id="46" w:name="_Toc29078"/>
      <w:r>
        <w:rPr>
          <w:rFonts w:hint="eastAsia"/>
          <w:lang w:eastAsia="zh-CN"/>
        </w:rPr>
        <w:t>9.5 备份与恢复</w:t>
      </w:r>
      <w:bookmarkEnd w:id="46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4536"/>
        <w:gridCol w:w="2835"/>
      </w:tblGrid>
      <w:tr w14:paraId="49F3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268" w:type="dxa"/>
            <w:vAlign w:val="center"/>
          </w:tcPr>
          <w:p w14:paraId="6F83BA3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4536" w:type="dxa"/>
            <w:vAlign w:val="center"/>
          </w:tcPr>
          <w:p w14:paraId="3DB3A25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最低要求</w:t>
            </w:r>
          </w:p>
        </w:tc>
        <w:tc>
          <w:tcPr>
            <w:tcW w:w="2835" w:type="dxa"/>
            <w:vAlign w:val="center"/>
          </w:tcPr>
          <w:p w14:paraId="58959444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验证证据</w:t>
            </w:r>
          </w:p>
        </w:tc>
      </w:tr>
      <w:tr w14:paraId="30FC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8B7A1A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全量备份</w:t>
            </w:r>
          </w:p>
        </w:tc>
        <w:tc>
          <w:tcPr>
            <w:tcW w:w="4536" w:type="dxa"/>
            <w:vAlign w:val="center"/>
          </w:tcPr>
          <w:p w14:paraId="5D3AD52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每日一次，保留周期按公司制度</w:t>
            </w:r>
          </w:p>
        </w:tc>
        <w:tc>
          <w:tcPr>
            <w:tcW w:w="2835" w:type="dxa"/>
            <w:vAlign w:val="center"/>
          </w:tcPr>
          <w:p w14:paraId="1E8A8F2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备份作业日志与文件校验</w:t>
            </w:r>
          </w:p>
        </w:tc>
      </w:tr>
      <w:tr w14:paraId="6DE4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AAD6C4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差异/日志备份</w:t>
            </w:r>
          </w:p>
        </w:tc>
        <w:tc>
          <w:tcPr>
            <w:tcW w:w="4536" w:type="dxa"/>
            <w:vAlign w:val="center"/>
          </w:tcPr>
          <w:p w14:paraId="73A139D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若要求时间点恢复，将数据库切换为 FULL 并建立日志备份链</w:t>
            </w:r>
          </w:p>
        </w:tc>
        <w:tc>
          <w:tcPr>
            <w:tcW w:w="2835" w:type="dxa"/>
            <w:vAlign w:val="center"/>
          </w:tcPr>
          <w:p w14:paraId="03D7CF4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恢复演练可定位到目标时间</w:t>
            </w:r>
          </w:p>
        </w:tc>
      </w:tr>
      <w:tr w14:paraId="2EF6A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EC799B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异地副本</w:t>
            </w:r>
          </w:p>
        </w:tc>
        <w:tc>
          <w:tcPr>
            <w:tcW w:w="4536" w:type="dxa"/>
            <w:vAlign w:val="center"/>
          </w:tcPr>
          <w:p w14:paraId="54FA810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至少一份与数据库主机故障域隔离</w:t>
            </w:r>
          </w:p>
        </w:tc>
        <w:tc>
          <w:tcPr>
            <w:tcW w:w="2835" w:type="dxa"/>
            <w:vAlign w:val="center"/>
          </w:tcPr>
          <w:p w14:paraId="78221CD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抽查可读与保留周期</w:t>
            </w:r>
          </w:p>
        </w:tc>
      </w:tr>
      <w:tr w14:paraId="6465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6F3F91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恢复演练</w:t>
            </w:r>
          </w:p>
        </w:tc>
        <w:tc>
          <w:tcPr>
            <w:tcW w:w="4536" w:type="dxa"/>
            <w:vAlign w:val="center"/>
          </w:tcPr>
          <w:p w14:paraId="0A69EB1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季度或重大版本前执行</w:t>
            </w:r>
          </w:p>
        </w:tc>
        <w:tc>
          <w:tcPr>
            <w:tcW w:w="2835" w:type="dxa"/>
            <w:vAlign w:val="center"/>
          </w:tcPr>
          <w:p w14:paraId="64122DB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恢复耗时、数据校验、问题清单</w:t>
            </w:r>
          </w:p>
        </w:tc>
      </w:tr>
      <w:tr w14:paraId="5AA5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4E1CEE4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变更前备份</w:t>
            </w:r>
          </w:p>
        </w:tc>
        <w:tc>
          <w:tcPr>
            <w:tcW w:w="4536" w:type="dxa"/>
            <w:vAlign w:val="center"/>
          </w:tcPr>
          <w:p w14:paraId="751F2D5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数据库结构/过程或批量数据变更前执行</w:t>
            </w:r>
          </w:p>
        </w:tc>
        <w:tc>
          <w:tcPr>
            <w:tcW w:w="2835" w:type="dxa"/>
            <w:vAlign w:val="center"/>
          </w:tcPr>
          <w:p w14:paraId="4FC656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脚本、备份和回退编号互相引用</w:t>
            </w:r>
          </w:p>
        </w:tc>
      </w:tr>
    </w:tbl>
    <w:p w14:paraId="09491CAC">
      <w:pPr>
        <w:bidi w:val="0"/>
        <w:rPr>
          <w:rFonts w:hint="default"/>
          <w:lang w:eastAsia="zh-CN"/>
        </w:rPr>
      </w:pPr>
    </w:p>
    <w:p w14:paraId="2066AEA4">
      <w:pPr>
        <w:pStyle w:val="2"/>
        <w:bidi w:val="0"/>
        <w:rPr>
          <w:rFonts w:hint="eastAsia"/>
          <w:lang w:eastAsia="zh-CN"/>
        </w:rPr>
      </w:pPr>
      <w:bookmarkStart w:id="47" w:name="_Toc25003"/>
      <w:r>
        <w:rPr>
          <w:rFonts w:hint="eastAsia"/>
          <w:lang w:eastAsia="zh-CN"/>
        </w:rPr>
        <w:t>10 关键业务技术设计</w:t>
      </w:r>
      <w:bookmarkEnd w:id="47"/>
    </w:p>
    <w:p w14:paraId="178939F9">
      <w:pPr>
        <w:pStyle w:val="3"/>
        <w:bidi w:val="0"/>
        <w:rPr>
          <w:rFonts w:hint="eastAsia"/>
          <w:lang w:eastAsia="zh-CN"/>
        </w:rPr>
      </w:pPr>
      <w:bookmarkStart w:id="48" w:name="_Toc25042"/>
      <w:r>
        <w:rPr>
          <w:rFonts w:hint="eastAsia"/>
          <w:lang w:eastAsia="zh-CN"/>
        </w:rPr>
        <w:t>10.1 工艺到任务下发</w:t>
      </w:r>
      <w:bookmarkEnd w:id="48"/>
    </w:p>
    <w:p w14:paraId="6D54EF03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维护工序基础数据和物料标准工艺。标准工艺是后续订单生成生产工艺的来源。</w:t>
      </w:r>
    </w:p>
    <w:p w14:paraId="44B5D169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为生产订单生成订单专用生产工艺；调整工序顺序、工时、车间、设备和说明。</w:t>
      </w:r>
    </w:p>
    <w:p w14:paraId="4C77C472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保存当前订单工艺，使其进入可用于计划和任务生成的启用状态。字段即时保存不等同于整条工艺启用。</w:t>
      </w:r>
    </w:p>
    <w:p w14:paraId="0EF1C691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整单下发按工艺路线生成全部工序任务；单工序下发仅用于补发目标工序。必须防止重复任务。</w:t>
      </w:r>
    </w:p>
    <w:p w14:paraId="3D54F09C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任务进入计划和生产执行后，工艺结构变更必须评估已排产、已开工、工时和质量记录。</w:t>
      </w:r>
    </w:p>
    <w:p w14:paraId="7E015C76">
      <w:pPr>
        <w:pStyle w:val="3"/>
        <w:bidi w:val="0"/>
        <w:rPr>
          <w:rFonts w:hint="eastAsia"/>
          <w:lang w:eastAsia="zh-CN"/>
        </w:rPr>
      </w:pPr>
      <w:bookmarkStart w:id="49" w:name="_Toc28184"/>
      <w:r>
        <w:rPr>
          <w:rFonts w:hint="eastAsia"/>
          <w:lang w:eastAsia="zh-CN"/>
        </w:rPr>
        <w:t>10.2 计划排产到生产执行</w:t>
      </w:r>
      <w:bookmarkEnd w:id="49"/>
    </w:p>
    <w:tbl>
      <w:tblPr>
        <w:tblStyle w:val="10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58"/>
        <w:gridCol w:w="3856"/>
        <w:gridCol w:w="4026"/>
      </w:tblGrid>
      <w:tr w14:paraId="5C5F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58" w:type="dxa"/>
            <w:vAlign w:val="center"/>
          </w:tcPr>
          <w:p w14:paraId="3AA10EF6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阶段</w:t>
            </w:r>
          </w:p>
        </w:tc>
        <w:tc>
          <w:tcPr>
            <w:tcW w:w="3856" w:type="dxa"/>
            <w:vAlign w:val="center"/>
          </w:tcPr>
          <w:p w14:paraId="172B4EBB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写入/改变</w:t>
            </w:r>
          </w:p>
        </w:tc>
        <w:tc>
          <w:tcPr>
            <w:tcW w:w="4026" w:type="dxa"/>
            <w:vAlign w:val="center"/>
          </w:tcPr>
          <w:p w14:paraId="47D987BB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下游影响</w:t>
            </w:r>
          </w:p>
        </w:tc>
      </w:tr>
      <w:tr w14:paraId="707B0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58" w:type="dxa"/>
            <w:vAlign w:val="center"/>
          </w:tcPr>
          <w:p w14:paraId="02FF1C7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排产</w:t>
            </w:r>
          </w:p>
        </w:tc>
        <w:tc>
          <w:tcPr>
            <w:tcW w:w="3856" w:type="dxa"/>
            <w:vAlign w:val="center"/>
          </w:tcPr>
          <w:p w14:paraId="3098BEE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工位、人员、数量、计划开始/完成、外协分组等</w:t>
            </w:r>
          </w:p>
        </w:tc>
        <w:tc>
          <w:tcPr>
            <w:tcW w:w="4026" w:type="dxa"/>
            <w:vAlign w:val="center"/>
          </w:tcPr>
          <w:p w14:paraId="69F6C75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工位负荷、任务可执行时间、物料准备和异常判断</w:t>
            </w:r>
          </w:p>
        </w:tc>
      </w:tr>
      <w:tr w14:paraId="6442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58" w:type="dxa"/>
            <w:vAlign w:val="center"/>
          </w:tcPr>
          <w:p w14:paraId="5A32632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收料/领料</w:t>
            </w:r>
          </w:p>
        </w:tc>
        <w:tc>
          <w:tcPr>
            <w:tcW w:w="3856" w:type="dxa"/>
            <w:vAlign w:val="center"/>
          </w:tcPr>
          <w:p w14:paraId="36F56E5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物料接收或领用状态</w:t>
            </w:r>
          </w:p>
        </w:tc>
        <w:tc>
          <w:tcPr>
            <w:tcW w:w="4026" w:type="dxa"/>
            <w:vAlign w:val="center"/>
          </w:tcPr>
          <w:p w14:paraId="3889F29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允许后续开始并形成物料追踪</w:t>
            </w:r>
          </w:p>
        </w:tc>
      </w:tr>
      <w:tr w14:paraId="3A05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58" w:type="dxa"/>
            <w:vAlign w:val="center"/>
          </w:tcPr>
          <w:p w14:paraId="2A2F63D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开工</w:t>
            </w:r>
          </w:p>
        </w:tc>
        <w:tc>
          <w:tcPr>
            <w:tcW w:w="3856" w:type="dxa"/>
            <w:vAlign w:val="center"/>
          </w:tcPr>
          <w:p w14:paraId="069D924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任务进入执行状态并形成开始记录</w:t>
            </w:r>
          </w:p>
        </w:tc>
        <w:tc>
          <w:tcPr>
            <w:tcW w:w="4026" w:type="dxa"/>
            <w:vAlign w:val="center"/>
          </w:tcPr>
          <w:p w14:paraId="0CA5C2F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设备/人员占用、在制进度和工时开始</w:t>
            </w:r>
          </w:p>
        </w:tc>
      </w:tr>
      <w:tr w14:paraId="7DC2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58" w:type="dxa"/>
            <w:vAlign w:val="center"/>
          </w:tcPr>
          <w:p w14:paraId="7F487D2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暂停/恢复</w:t>
            </w:r>
          </w:p>
        </w:tc>
        <w:tc>
          <w:tcPr>
            <w:tcW w:w="3856" w:type="dxa"/>
            <w:vAlign w:val="center"/>
          </w:tcPr>
          <w:p w14:paraId="3EB9FBC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记录暂停区间和原因</w:t>
            </w:r>
          </w:p>
        </w:tc>
        <w:tc>
          <w:tcPr>
            <w:tcW w:w="4026" w:type="dxa"/>
            <w:vAlign w:val="center"/>
          </w:tcPr>
          <w:p w14:paraId="0E905CB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净工时、设备状态和异常统计</w:t>
            </w:r>
          </w:p>
        </w:tc>
      </w:tr>
      <w:tr w14:paraId="0F2F494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58" w:type="dxa"/>
            <w:vAlign w:val="center"/>
          </w:tcPr>
          <w:p w14:paraId="1C6D4E1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报工/结束</w:t>
            </w:r>
          </w:p>
        </w:tc>
        <w:tc>
          <w:tcPr>
            <w:tcW w:w="3856" w:type="dxa"/>
            <w:vAlign w:val="center"/>
          </w:tcPr>
          <w:p w14:paraId="1F2C9DB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完成数量、工时、操作记录和任务进度</w:t>
            </w:r>
          </w:p>
        </w:tc>
        <w:tc>
          <w:tcPr>
            <w:tcW w:w="4026" w:type="dxa"/>
            <w:vAlign w:val="center"/>
          </w:tcPr>
          <w:p w14:paraId="75C3AA5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质量送检、后工序、完工判断和工时报表</w:t>
            </w:r>
          </w:p>
        </w:tc>
      </w:tr>
      <w:tr w14:paraId="7940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58" w:type="dxa"/>
            <w:vAlign w:val="center"/>
          </w:tcPr>
          <w:p w14:paraId="291855D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送检/收检</w:t>
            </w:r>
          </w:p>
        </w:tc>
        <w:tc>
          <w:tcPr>
            <w:tcW w:w="3856" w:type="dxa"/>
            <w:vAlign w:val="center"/>
          </w:tcPr>
          <w:p w14:paraId="1F6DB4F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检验任务或跨工序接收结果</w:t>
            </w:r>
          </w:p>
        </w:tc>
        <w:tc>
          <w:tcPr>
            <w:tcW w:w="4026" w:type="dxa"/>
            <w:vAlign w:val="center"/>
          </w:tcPr>
          <w:p w14:paraId="6F55A2B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质量闭环及后续工序可执行性</w:t>
            </w:r>
          </w:p>
        </w:tc>
      </w:tr>
    </w:tbl>
    <w:p w14:paraId="3E2BE820">
      <w:pPr>
        <w:bidi w:val="0"/>
        <w:rPr>
          <w:rFonts w:hint="default"/>
          <w:lang w:eastAsia="zh-CN"/>
        </w:rPr>
      </w:pPr>
    </w:p>
    <w:p w14:paraId="4DAD4B21">
      <w:pPr>
        <w:pStyle w:val="3"/>
        <w:bidi w:val="0"/>
        <w:rPr>
          <w:rFonts w:hint="eastAsia"/>
          <w:lang w:eastAsia="zh-CN"/>
        </w:rPr>
      </w:pPr>
      <w:bookmarkStart w:id="50" w:name="_Toc26948"/>
      <w:r>
        <w:rPr>
          <w:rFonts w:hint="eastAsia"/>
          <w:lang w:eastAsia="zh-CN"/>
        </w:rPr>
        <w:t>10.3 工时闭环</w:t>
      </w:r>
      <w:bookmarkEnd w:id="50"/>
    </w:p>
    <w:p w14:paraId="20CE0D15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系统以操作记录为原始事实，结合开始、暂停、恢复和结束时间计算生产/辅助工时；报工记录承载完成数量和确认信息；工时校验和工时修正用于处理异常。任何修正都应保留原值、修正值、原因、操作人和时间，结算工时只使用已满足校验规则的数据。</w:t>
      </w:r>
    </w:p>
    <w:p w14:paraId="4BB9BAF7">
      <w:pPr>
        <w:pStyle w:val="3"/>
        <w:bidi w:val="0"/>
        <w:rPr>
          <w:rFonts w:hint="eastAsia"/>
          <w:lang w:eastAsia="zh-CN"/>
        </w:rPr>
      </w:pPr>
      <w:bookmarkStart w:id="51" w:name="_Toc1336"/>
      <w:r>
        <w:rPr>
          <w:rFonts w:hint="eastAsia"/>
          <w:lang w:eastAsia="zh-CN"/>
        </w:rPr>
        <w:t>10.4 质量闭环</w:t>
      </w:r>
      <w:bookmarkEnd w:id="51"/>
    </w:p>
    <w:p w14:paraId="65132C8B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质量任务从生产送检、采购入库、销售退货、原材料退库或其他入库场景产生。检验标准提供项目、上下限、比例和量具要求；检验结果记录实测值、合格/不合格数量和判定。非合格结果进入返工、让步、报废或其他处置，并反馈生产、库存和统计。</w:t>
      </w:r>
    </w:p>
    <w:p w14:paraId="71751FF6">
      <w:pPr>
        <w:pStyle w:val="3"/>
        <w:bidi w:val="0"/>
        <w:rPr>
          <w:rFonts w:hint="eastAsia"/>
          <w:lang w:eastAsia="zh-CN"/>
        </w:rPr>
      </w:pPr>
      <w:bookmarkStart w:id="52" w:name="_Toc159"/>
      <w:r>
        <w:rPr>
          <w:rFonts w:hint="eastAsia"/>
          <w:lang w:eastAsia="zh-CN"/>
        </w:rPr>
        <w:t>10.5 异常与交付</w:t>
      </w:r>
      <w:bookmarkEnd w:id="52"/>
    </w:p>
    <w:p w14:paraId="06B78438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异常提醒依据计划与实际时间、任务状态和加急标记形成。销售订单状态页面汇总 SAP 和 MES 的计划、齐套、拣配、发料、装配、送检、入库和发货状态。汇总页面原则上只读展示，不应成为绕过原业务模块直接改状态的入口。</w:t>
      </w:r>
    </w:p>
    <w:p w14:paraId="35F3F866">
      <w:pPr>
        <w:pStyle w:val="2"/>
        <w:bidi w:val="0"/>
        <w:rPr>
          <w:rFonts w:hint="eastAsia"/>
          <w:lang w:eastAsia="zh-CN"/>
        </w:rPr>
      </w:pPr>
      <w:bookmarkStart w:id="53" w:name="_Toc31126"/>
      <w:r>
        <w:rPr>
          <w:rFonts w:hint="eastAsia"/>
          <w:lang w:eastAsia="zh-CN"/>
        </w:rPr>
        <w:t>11 模块技术边界</w:t>
      </w:r>
      <w:bookmarkEnd w:id="53"/>
    </w:p>
    <w:p w14:paraId="4CC70822">
      <w:pPr>
        <w:pStyle w:val="3"/>
        <w:bidi w:val="0"/>
        <w:rPr>
          <w:rFonts w:hint="eastAsia"/>
          <w:lang w:eastAsia="zh-CN"/>
        </w:rPr>
      </w:pPr>
      <w:bookmarkStart w:id="54" w:name="_Toc606"/>
      <w:r>
        <w:rPr>
          <w:rFonts w:hint="eastAsia"/>
          <w:lang w:eastAsia="zh-CN"/>
        </w:rPr>
        <w:t>11.1 系统管理</w:t>
      </w:r>
      <w:bookmarkEnd w:id="54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4281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1984" w:type="dxa"/>
            <w:vAlign w:val="center"/>
          </w:tcPr>
          <w:p w14:paraId="27EA78B8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5301A19D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0BE8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596ACED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1096DF1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账号、角色、菜单、工位及操作审计</w:t>
            </w:r>
          </w:p>
        </w:tc>
      </w:tr>
      <w:tr w14:paraId="0280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5F152A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4049730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人员/角色/菜单基础数据</w:t>
            </w:r>
          </w:p>
        </w:tc>
      </w:tr>
      <w:tr w14:paraId="0004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4965E2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6DDD974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全部业务模块的登录与权限基础</w:t>
            </w:r>
          </w:p>
        </w:tc>
      </w:tr>
      <w:tr w14:paraId="5B0B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31D0832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67A8660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人员管理、角色管理、菜单管理、工位管理、报工操作记录</w:t>
            </w:r>
          </w:p>
        </w:tc>
      </w:tr>
    </w:tbl>
    <w:p w14:paraId="0B26AB23">
      <w:pPr>
        <w:bidi w:val="0"/>
        <w:rPr>
          <w:rFonts w:hint="default"/>
          <w:lang w:eastAsia="zh-CN"/>
        </w:rPr>
      </w:pPr>
    </w:p>
    <w:p w14:paraId="57457DC3">
      <w:pPr>
        <w:pStyle w:val="3"/>
        <w:bidi w:val="0"/>
        <w:rPr>
          <w:rFonts w:hint="eastAsia"/>
          <w:lang w:eastAsia="zh-CN"/>
        </w:rPr>
      </w:pPr>
      <w:bookmarkStart w:id="55" w:name="_Toc11629"/>
      <w:r>
        <w:rPr>
          <w:rFonts w:hint="eastAsia"/>
          <w:lang w:eastAsia="zh-CN"/>
        </w:rPr>
        <w:t>11.2 设备管理</w:t>
      </w:r>
      <w:bookmarkEnd w:id="55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1523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0BE48DD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58AD6330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406B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06E76CB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4E340E7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维护设备台账并查看实时与历史数据</w:t>
            </w:r>
          </w:p>
        </w:tc>
      </w:tr>
      <w:tr w14:paraId="2E6A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5F87CF7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0831945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设备、工位、采集变量</w:t>
            </w:r>
          </w:p>
        </w:tc>
      </w:tr>
      <w:tr w14:paraId="49A4D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17EF9FC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44657E4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生产执行、设备看板和设备分析</w:t>
            </w:r>
          </w:p>
        </w:tc>
      </w:tr>
      <w:tr w14:paraId="393B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3CC62A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11AB53F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设备信息维护、设备数据、设备历史数据、实时数据</w:t>
            </w:r>
          </w:p>
        </w:tc>
      </w:tr>
    </w:tbl>
    <w:p w14:paraId="3AFEB9E5">
      <w:pPr>
        <w:bidi w:val="0"/>
        <w:rPr>
          <w:rFonts w:hint="default"/>
          <w:lang w:eastAsia="zh-CN"/>
        </w:rPr>
      </w:pPr>
    </w:p>
    <w:p w14:paraId="22E5539B">
      <w:pPr>
        <w:pStyle w:val="3"/>
        <w:bidi w:val="0"/>
        <w:rPr>
          <w:rFonts w:hint="eastAsia"/>
          <w:lang w:eastAsia="zh-CN"/>
        </w:rPr>
      </w:pPr>
      <w:bookmarkStart w:id="56" w:name="_Toc15034"/>
      <w:r>
        <w:rPr>
          <w:rFonts w:hint="eastAsia"/>
          <w:lang w:eastAsia="zh-CN"/>
        </w:rPr>
        <w:t>11.3 研发管理</w:t>
      </w:r>
      <w:bookmarkEnd w:id="56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0A4E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3A93B5A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1E6F9806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742A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51794F1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5B9E909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设计任务分派、报工、校验与财务工时</w:t>
            </w:r>
          </w:p>
        </w:tc>
      </w:tr>
      <w:tr w14:paraId="2EB1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1709763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6B7FEB3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研发项目、任务、人员、报工记录</w:t>
            </w:r>
          </w:p>
        </w:tc>
      </w:tr>
      <w:tr w14:paraId="764E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00217ED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79BCC46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工时统计、成本核算和项目复盘</w:t>
            </w:r>
          </w:p>
        </w:tc>
      </w:tr>
      <w:tr w14:paraId="0F5E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5876AC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5B2B9E3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设计任务、设计报工、设计工时校验、设计工时报表、研发财务工时</w:t>
            </w:r>
          </w:p>
        </w:tc>
      </w:tr>
    </w:tbl>
    <w:p w14:paraId="594179B4">
      <w:pPr>
        <w:bidi w:val="0"/>
        <w:rPr>
          <w:rFonts w:hint="default"/>
          <w:lang w:eastAsia="zh-CN"/>
        </w:rPr>
      </w:pPr>
    </w:p>
    <w:p w14:paraId="3B6B6F79">
      <w:pPr>
        <w:pStyle w:val="3"/>
        <w:bidi w:val="0"/>
        <w:rPr>
          <w:rFonts w:hint="eastAsia"/>
          <w:lang w:eastAsia="zh-CN"/>
        </w:rPr>
      </w:pPr>
      <w:bookmarkStart w:id="57" w:name="_Toc2906"/>
      <w:r>
        <w:rPr>
          <w:rFonts w:hint="eastAsia"/>
          <w:lang w:eastAsia="zh-CN"/>
        </w:rPr>
        <w:t>11.4 工艺管理</w:t>
      </w:r>
      <w:bookmarkEnd w:id="57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7142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54B7A723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7205D051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6A4F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4FCE465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32523B2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维护工序、标准工艺、订单工艺及图纸</w:t>
            </w:r>
          </w:p>
        </w:tc>
      </w:tr>
      <w:tr w14:paraId="3A02B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3ACA835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3A0EB2D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物料、工序、标准工艺、订单工艺、图纸</w:t>
            </w:r>
          </w:p>
        </w:tc>
      </w:tr>
      <w:tr w14:paraId="4026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022AAFA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1FDBC37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计划排产、任务下发、生产执行和检验标准</w:t>
            </w:r>
          </w:p>
        </w:tc>
      </w:tr>
      <w:tr w14:paraId="56BE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195CCDE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063C69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工序管理、制定标准工艺、生产工艺、工艺查询、工艺任务、图纸维护、工艺维护、查看图纸、采购图纸查询</w:t>
            </w:r>
          </w:p>
        </w:tc>
      </w:tr>
    </w:tbl>
    <w:p w14:paraId="627171D7">
      <w:pPr>
        <w:bidi w:val="0"/>
        <w:rPr>
          <w:rFonts w:hint="default"/>
          <w:lang w:eastAsia="zh-CN"/>
        </w:rPr>
      </w:pPr>
    </w:p>
    <w:p w14:paraId="0B468E7C">
      <w:pPr>
        <w:pStyle w:val="3"/>
        <w:bidi w:val="0"/>
        <w:rPr>
          <w:rFonts w:hint="eastAsia"/>
          <w:lang w:eastAsia="zh-CN"/>
        </w:rPr>
      </w:pPr>
      <w:bookmarkStart w:id="58" w:name="_Toc1043"/>
      <w:r>
        <w:rPr>
          <w:rFonts w:hint="eastAsia"/>
          <w:lang w:eastAsia="zh-CN"/>
        </w:rPr>
        <w:t>11.5 计划排产</w:t>
      </w:r>
      <w:bookmarkEnd w:id="58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0880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512360E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20AA1DE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73B5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50539BD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47CECC2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将订单工艺分配到工位、人员和时间</w:t>
            </w:r>
          </w:p>
        </w:tc>
      </w:tr>
      <w:tr w14:paraId="1133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72F218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548A917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生产订单、工艺路线、资源与日历</w:t>
            </w:r>
          </w:p>
        </w:tc>
      </w:tr>
      <w:tr w14:paraId="0775E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D6FB81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0357863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生产任务、齐套跟踪、工位负荷和异常提醒</w:t>
            </w:r>
          </w:p>
        </w:tc>
      </w:tr>
      <w:tr w14:paraId="2355A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E36B1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1398723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机加件排产、装配件排产、机加件已排产、机加件未排产、优先装配、计划用表、装配未排产、生产订单关闭、工位任务汇总、装配已排产、系统类装配任务、阀类装配任务、及时齐套跟踪结果</w:t>
            </w:r>
          </w:p>
        </w:tc>
      </w:tr>
    </w:tbl>
    <w:p w14:paraId="6FB6E906">
      <w:pPr>
        <w:bidi w:val="0"/>
        <w:rPr>
          <w:rFonts w:hint="default"/>
          <w:lang w:eastAsia="zh-CN"/>
        </w:rPr>
      </w:pPr>
    </w:p>
    <w:p w14:paraId="25666CF8">
      <w:pPr>
        <w:pStyle w:val="3"/>
        <w:bidi w:val="0"/>
        <w:rPr>
          <w:rFonts w:hint="eastAsia"/>
          <w:lang w:eastAsia="zh-CN"/>
        </w:rPr>
      </w:pPr>
      <w:bookmarkStart w:id="59" w:name="_Toc7561"/>
      <w:r>
        <w:rPr>
          <w:rFonts w:hint="eastAsia"/>
          <w:lang w:eastAsia="zh-CN"/>
        </w:rPr>
        <w:t>11.6 生产管理</w:t>
      </w:r>
      <w:bookmarkEnd w:id="59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1B9C9F81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2EB04617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180BF57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7DC2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3945D5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44C5E04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执行收料、开工、暂停、报工、送检和工时闭环</w:t>
            </w:r>
          </w:p>
        </w:tc>
      </w:tr>
      <w:tr w14:paraId="0BDA9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BB2FA0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6EB725C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工序任务、人员、设备、物料和操作记录</w:t>
            </w:r>
          </w:p>
        </w:tc>
      </w:tr>
      <w:tr w14:paraId="732B0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7915BE4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77AB4A1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质量检验、完工关闭、工时报表和交付状态</w:t>
            </w:r>
          </w:p>
        </w:tc>
      </w:tr>
      <w:tr w14:paraId="20800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410F564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6404585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计划跟踪、加工中心、过程异常管控、工时校验、外协管理、人员绑定、装配中心、班次管理、工时报表、加急件管理、拣配任务、采购外协管理、工时查询、机加正在进行中、装配状态、外协报表、工时修正、物料机器人、手续确认报表、发货通知列表、结算工时</w:t>
            </w:r>
          </w:p>
        </w:tc>
      </w:tr>
    </w:tbl>
    <w:p w14:paraId="19B137A3">
      <w:pPr>
        <w:bidi w:val="0"/>
        <w:rPr>
          <w:rFonts w:hint="default"/>
          <w:lang w:eastAsia="zh-CN"/>
        </w:rPr>
      </w:pPr>
    </w:p>
    <w:p w14:paraId="6943EB91">
      <w:pPr>
        <w:pStyle w:val="3"/>
        <w:bidi w:val="0"/>
        <w:rPr>
          <w:rFonts w:hint="eastAsia"/>
          <w:lang w:eastAsia="zh-CN"/>
        </w:rPr>
      </w:pPr>
      <w:bookmarkStart w:id="60" w:name="_Toc15347"/>
      <w:r>
        <w:rPr>
          <w:rFonts w:hint="eastAsia"/>
          <w:lang w:eastAsia="zh-CN"/>
        </w:rPr>
        <w:t>11.7 异常提醒</w:t>
      </w:r>
      <w:bookmarkEnd w:id="60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2159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1984" w:type="dxa"/>
            <w:vAlign w:val="center"/>
          </w:tcPr>
          <w:p w14:paraId="70CBA3A3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46D04B8D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438C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09E7413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31090B0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识别未及时开工、未及时送检和加急事项</w:t>
            </w:r>
          </w:p>
        </w:tc>
      </w:tr>
      <w:tr w14:paraId="09DE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5476E1B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1A14E32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计划时间、实际时间、任务状态</w:t>
            </w:r>
          </w:p>
        </w:tc>
      </w:tr>
      <w:tr w14:paraId="696A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616C45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6BFDA5A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计划调整、现场督办和管理看板</w:t>
            </w:r>
          </w:p>
        </w:tc>
      </w:tr>
      <w:tr w14:paraId="6D08F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030EBE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58020F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机加及时开工、外协及时开工、加急任务列表、装配及时送检</w:t>
            </w:r>
          </w:p>
        </w:tc>
      </w:tr>
    </w:tbl>
    <w:p w14:paraId="4297DF40">
      <w:pPr>
        <w:bidi w:val="0"/>
        <w:rPr>
          <w:rFonts w:hint="default"/>
          <w:lang w:eastAsia="zh-CN"/>
        </w:rPr>
      </w:pPr>
    </w:p>
    <w:p w14:paraId="0E4A6F20">
      <w:pPr>
        <w:pStyle w:val="3"/>
        <w:bidi w:val="0"/>
        <w:rPr>
          <w:rFonts w:hint="eastAsia"/>
          <w:lang w:eastAsia="zh-CN"/>
        </w:rPr>
      </w:pPr>
      <w:bookmarkStart w:id="61" w:name="_Toc32581"/>
      <w:r>
        <w:rPr>
          <w:rFonts w:hint="eastAsia"/>
          <w:lang w:eastAsia="zh-CN"/>
        </w:rPr>
        <w:t>11.8 质量管理</w:t>
      </w:r>
      <w:bookmarkEnd w:id="6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6268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7A0EB848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021D126D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4643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610496E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5B820AF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执行质量标准、检验、判定与不合格处置</w:t>
            </w:r>
          </w:p>
        </w:tc>
      </w:tr>
      <w:tr w14:paraId="582BE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037445B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38FE07F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检验任务、标准、实测值、量具和处置记录</w:t>
            </w:r>
          </w:p>
        </w:tc>
      </w:tr>
      <w:tr w14:paraId="5406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1BDCC23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79E9B2E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任务流转、入库、返工/让步/报废和质量统计</w:t>
            </w:r>
          </w:p>
        </w:tc>
      </w:tr>
      <w:tr w14:paraId="0CE56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2609AF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5CCEF78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终检、采购入库检、销售退货检、原材料退库检、序检收检、质量检验标准、其他入库检、质检明细、不合格品处置、质检报工、测试装配任务、及时检验报表、产品合格率（工位）</w:t>
            </w:r>
          </w:p>
        </w:tc>
      </w:tr>
    </w:tbl>
    <w:p w14:paraId="244E7F6F">
      <w:pPr>
        <w:bidi w:val="0"/>
        <w:rPr>
          <w:rFonts w:hint="default"/>
          <w:lang w:eastAsia="zh-CN"/>
        </w:rPr>
      </w:pPr>
    </w:p>
    <w:p w14:paraId="7758C13A">
      <w:pPr>
        <w:pStyle w:val="3"/>
        <w:bidi w:val="0"/>
        <w:rPr>
          <w:rFonts w:hint="eastAsia"/>
          <w:lang w:eastAsia="zh-CN"/>
        </w:rPr>
      </w:pPr>
      <w:bookmarkStart w:id="62" w:name="_Toc31952"/>
      <w:r>
        <w:rPr>
          <w:rFonts w:hint="eastAsia"/>
          <w:lang w:eastAsia="zh-CN"/>
        </w:rPr>
        <w:t>11.9 销售订单管理</w:t>
      </w:r>
      <w:bookmarkEnd w:id="62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008C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064CD8C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项目</w:t>
            </w:r>
          </w:p>
        </w:tc>
        <w:tc>
          <w:tcPr>
            <w:tcW w:w="7655" w:type="dxa"/>
            <w:vAlign w:val="center"/>
          </w:tcPr>
          <w:p w14:paraId="60180AA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说明</w:t>
            </w:r>
          </w:p>
        </w:tc>
      </w:tr>
      <w:tr w14:paraId="2BA3B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3450C1C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核心职责</w:t>
            </w:r>
          </w:p>
        </w:tc>
        <w:tc>
          <w:tcPr>
            <w:tcW w:w="7655" w:type="dxa"/>
            <w:vAlign w:val="center"/>
          </w:tcPr>
          <w:p w14:paraId="09C9A27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汇总订单从计划到交付的全流程状态</w:t>
            </w:r>
          </w:p>
        </w:tc>
      </w:tr>
      <w:tr w14:paraId="3F2B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3A4CCC0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主要输入</w:t>
            </w:r>
          </w:p>
        </w:tc>
        <w:tc>
          <w:tcPr>
            <w:tcW w:w="7655" w:type="dxa"/>
            <w:vAlign w:val="center"/>
          </w:tcPr>
          <w:p w14:paraId="7AD7BCC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SAP 销售订单与 MES 生产/质量/交付数据</w:t>
            </w:r>
          </w:p>
        </w:tc>
      </w:tr>
      <w:tr w14:paraId="58E3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4C98A85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主要输出/影响</w:t>
            </w:r>
          </w:p>
        </w:tc>
        <w:tc>
          <w:tcPr>
            <w:tcW w:w="7655" w:type="dxa"/>
            <w:vAlign w:val="center"/>
          </w:tcPr>
          <w:p w14:paraId="310A30A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交付协调、客户响应和经营分析</w:t>
            </w:r>
          </w:p>
        </w:tc>
      </w:tr>
      <w:tr w14:paraId="3E3D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666C3E7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页面范围</w:t>
            </w:r>
          </w:p>
        </w:tc>
        <w:tc>
          <w:tcPr>
            <w:tcW w:w="7655" w:type="dxa"/>
            <w:vAlign w:val="center"/>
          </w:tcPr>
          <w:p w14:paraId="247520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销售订单状态</w:t>
            </w:r>
          </w:p>
        </w:tc>
      </w:tr>
    </w:tbl>
    <w:p w14:paraId="4317DFD8">
      <w:pPr>
        <w:bidi w:val="0"/>
        <w:rPr>
          <w:rFonts w:hint="default"/>
          <w:lang w:eastAsia="zh-CN"/>
        </w:rPr>
      </w:pPr>
    </w:p>
    <w:p w14:paraId="6F1C40E3">
      <w:pPr>
        <w:pStyle w:val="2"/>
        <w:bidi w:val="0"/>
        <w:rPr>
          <w:rFonts w:hint="eastAsia"/>
          <w:lang w:eastAsia="zh-CN"/>
        </w:rPr>
      </w:pPr>
      <w:bookmarkStart w:id="63" w:name="_Toc1049"/>
      <w:r>
        <w:rPr>
          <w:rFonts w:hint="eastAsia"/>
          <w:lang w:eastAsia="zh-CN"/>
        </w:rPr>
        <w:t>12 文件、设备与外部集成</w:t>
      </w:r>
      <w:bookmarkEnd w:id="63"/>
    </w:p>
    <w:p w14:paraId="5DBB92CC">
      <w:pPr>
        <w:pStyle w:val="3"/>
        <w:bidi w:val="0"/>
        <w:rPr>
          <w:rFonts w:hint="eastAsia"/>
          <w:lang w:eastAsia="zh-CN"/>
        </w:rPr>
      </w:pPr>
      <w:bookmarkStart w:id="64" w:name="_Toc11063"/>
      <w:r>
        <w:rPr>
          <w:rFonts w:hint="eastAsia"/>
          <w:lang w:eastAsia="zh-CN"/>
        </w:rPr>
        <w:t>12.1 图纸与附件</w:t>
      </w:r>
      <w:bookmarkEnd w:id="64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3402"/>
        <w:gridCol w:w="4536"/>
      </w:tblGrid>
      <w:tr w14:paraId="03E4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01" w:type="dxa"/>
            <w:vAlign w:val="center"/>
          </w:tcPr>
          <w:p w14:paraId="37EB78A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环节</w:t>
            </w:r>
          </w:p>
        </w:tc>
        <w:tc>
          <w:tcPr>
            <w:tcW w:w="3402" w:type="dxa"/>
            <w:vAlign w:val="center"/>
          </w:tcPr>
          <w:p w14:paraId="3E96A58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实现</w:t>
            </w:r>
          </w:p>
        </w:tc>
        <w:tc>
          <w:tcPr>
            <w:tcW w:w="4536" w:type="dxa"/>
            <w:vAlign w:val="center"/>
          </w:tcPr>
          <w:p w14:paraId="13D2E790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控制要求</w:t>
            </w:r>
          </w:p>
        </w:tc>
      </w:tr>
      <w:tr w14:paraId="116E1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3ED1CE3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上传</w:t>
            </w:r>
          </w:p>
        </w:tc>
        <w:tc>
          <w:tcPr>
            <w:tcW w:w="3402" w:type="dxa"/>
            <w:vAlign w:val="center"/>
          </w:tcPr>
          <w:p w14:paraId="67C0AD6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MESUploadFile.ashx</w:t>
            </w:r>
          </w:p>
        </w:tc>
        <w:tc>
          <w:tcPr>
            <w:tcW w:w="4536" w:type="dxa"/>
            <w:vAlign w:val="center"/>
          </w:tcPr>
          <w:p w14:paraId="7846673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校验扩展名、MIME、大小、病毒和业务归属</w:t>
            </w:r>
          </w:p>
        </w:tc>
      </w:tr>
      <w:tr w14:paraId="2A41F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D5F38E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存储</w:t>
            </w:r>
          </w:p>
        </w:tc>
        <w:tc>
          <w:tcPr>
            <w:tcW w:w="3402" w:type="dxa"/>
            <w:vAlign w:val="center"/>
          </w:tcPr>
          <w:p w14:paraId="4BD7EE2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文件服务目录与数据库元数据</w:t>
            </w:r>
          </w:p>
        </w:tc>
        <w:tc>
          <w:tcPr>
            <w:tcW w:w="4536" w:type="dxa"/>
            <w:vAlign w:val="center"/>
          </w:tcPr>
          <w:p w14:paraId="223CB9D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文件名不可作为唯一标识，保留哈希/版本/上传人</w:t>
            </w:r>
          </w:p>
        </w:tc>
      </w:tr>
      <w:tr w14:paraId="1A2B2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7752907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下载/预览</w:t>
            </w:r>
          </w:p>
        </w:tc>
        <w:tc>
          <w:tcPr>
            <w:tcW w:w="3402" w:type="dxa"/>
            <w:vAlign w:val="center"/>
          </w:tcPr>
          <w:p w14:paraId="6AFAB6C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webpage/part/ 与 PDF 预览组件</w:t>
            </w:r>
          </w:p>
        </w:tc>
        <w:tc>
          <w:tcPr>
            <w:tcW w:w="4536" w:type="dxa"/>
            <w:vAlign w:val="center"/>
          </w:tcPr>
          <w:p w14:paraId="5711668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与业务记录权限一致，避免目录遍历</w:t>
            </w:r>
          </w:p>
        </w:tc>
      </w:tr>
      <w:tr w14:paraId="0F48C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6F12F27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删除</w:t>
            </w:r>
          </w:p>
        </w:tc>
        <w:tc>
          <w:tcPr>
            <w:tcW w:w="3402" w:type="dxa"/>
            <w:vAlign w:val="center"/>
          </w:tcPr>
          <w:p w14:paraId="500A0D2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业务删除记录或状态</w:t>
            </w:r>
          </w:p>
        </w:tc>
        <w:tc>
          <w:tcPr>
            <w:tcW w:w="4536" w:type="dxa"/>
            <w:vAlign w:val="center"/>
          </w:tcPr>
          <w:p w14:paraId="0C0F602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保留审计，防止已下发工艺失去依据</w:t>
            </w:r>
          </w:p>
        </w:tc>
      </w:tr>
    </w:tbl>
    <w:p w14:paraId="7DD2527C">
      <w:pPr>
        <w:bidi w:val="0"/>
        <w:rPr>
          <w:rFonts w:hint="default"/>
          <w:lang w:eastAsia="zh-CN"/>
        </w:rPr>
      </w:pPr>
    </w:p>
    <w:p w14:paraId="100EDA5E">
      <w:pPr>
        <w:pStyle w:val="3"/>
        <w:bidi w:val="0"/>
        <w:rPr>
          <w:rFonts w:hint="eastAsia"/>
          <w:lang w:eastAsia="zh-CN"/>
        </w:rPr>
      </w:pPr>
      <w:bookmarkStart w:id="65" w:name="_Toc2271"/>
      <w:r>
        <w:rPr>
          <w:rFonts w:hint="eastAsia"/>
          <w:lang w:eastAsia="zh-CN"/>
        </w:rPr>
        <w:t>12.2 AGV</w:t>
      </w:r>
      <w:bookmarkEnd w:id="65"/>
    </w:p>
    <w:p w14:paraId="3A9E0AE6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物料机器人页面先在 MES 创建搬运任务，再调用 AGV 接口下发 ContainerTransportOrder；只有接口返回任务号成功后才将 MES 状态更新为 RUNNING。应补充超时后的任务查询、重复下发幂等和“AGV成功但MES更新失败”的对账补偿。</w:t>
      </w:r>
    </w:p>
    <w:p w14:paraId="6F7EC121">
      <w:pPr>
        <w:pStyle w:val="3"/>
        <w:bidi w:val="0"/>
        <w:rPr>
          <w:rFonts w:hint="eastAsia"/>
          <w:lang w:eastAsia="zh-CN"/>
        </w:rPr>
      </w:pPr>
      <w:bookmarkStart w:id="66" w:name="_Toc6416"/>
      <w:r>
        <w:rPr>
          <w:rFonts w:hint="eastAsia"/>
          <w:lang w:eastAsia="zh-CN"/>
        </w:rPr>
        <w:t>12.3 设备与 MQTT</w:t>
      </w:r>
      <w:bookmarkEnd w:id="66"/>
    </w:p>
    <w:p w14:paraId="26CFEB90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公共工具支持 Cmd_Opc_Read 和 Cmd_Opc_Write，通过设备 API 读取或写入 TagList；MQTT 用于实时数据订阅。写设备命令属于高风险操作，必须限制目标客户端、Tag 白名单、数值范围和操作权限，并记录请求与设备响应。</w:t>
      </w:r>
    </w:p>
    <w:p w14:paraId="4CA23077">
      <w:pPr>
        <w:pStyle w:val="3"/>
        <w:bidi w:val="0"/>
        <w:rPr>
          <w:rFonts w:hint="eastAsia"/>
          <w:lang w:eastAsia="zh-CN"/>
        </w:rPr>
      </w:pPr>
      <w:bookmarkStart w:id="67" w:name="_Toc18038"/>
      <w:r>
        <w:rPr>
          <w:rFonts w:hint="eastAsia"/>
          <w:lang w:eastAsia="zh-CN"/>
        </w:rPr>
        <w:t>12.4 SAP B1</w:t>
      </w:r>
      <w:bookmarkEnd w:id="67"/>
    </w:p>
    <w:p w14:paraId="35C83CE1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SAP B1 是订单、物料、BOM、采购、库存等数据的重要外部来源。MES 通过代理执行 Service Layer 请求。集成设计必须明确主数据权威方、同步方向、时间窗口、失败重试、重复数据判定和日常对账。</w:t>
      </w:r>
    </w:p>
    <w:p w14:paraId="14AAF4DC">
      <w:pPr>
        <w:pStyle w:val="2"/>
        <w:bidi w:val="0"/>
        <w:rPr>
          <w:rFonts w:hint="eastAsia"/>
          <w:lang w:eastAsia="zh-CN"/>
        </w:rPr>
      </w:pPr>
      <w:bookmarkStart w:id="68" w:name="_Toc22535"/>
      <w:r>
        <w:rPr>
          <w:rFonts w:hint="eastAsia"/>
          <w:lang w:eastAsia="zh-CN"/>
        </w:rPr>
        <w:t>13 日志、监控与审计</w:t>
      </w:r>
      <w:bookmarkEnd w:id="68"/>
    </w:p>
    <w:p w14:paraId="5C1CD562">
      <w:pPr>
        <w:pStyle w:val="3"/>
        <w:bidi w:val="0"/>
        <w:rPr>
          <w:rFonts w:hint="eastAsia"/>
          <w:lang w:eastAsia="zh-CN"/>
        </w:rPr>
      </w:pPr>
      <w:bookmarkStart w:id="69" w:name="_Toc31477"/>
      <w:r>
        <w:rPr>
          <w:rFonts w:hint="eastAsia"/>
          <w:lang w:eastAsia="zh-CN"/>
        </w:rPr>
        <w:t>13.1 日志分类</w:t>
      </w:r>
      <w:bookmarkEnd w:id="69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55"/>
        <w:gridCol w:w="4536"/>
        <w:gridCol w:w="2948"/>
      </w:tblGrid>
      <w:tr w14:paraId="6719C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155" w:type="dxa"/>
            <w:vAlign w:val="center"/>
          </w:tcPr>
          <w:p w14:paraId="2D055F10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日志</w:t>
            </w:r>
          </w:p>
        </w:tc>
        <w:tc>
          <w:tcPr>
            <w:tcW w:w="4536" w:type="dxa"/>
            <w:vAlign w:val="center"/>
          </w:tcPr>
          <w:p w14:paraId="38819BA7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  <w:tc>
          <w:tcPr>
            <w:tcW w:w="2948" w:type="dxa"/>
            <w:vAlign w:val="center"/>
          </w:tcPr>
          <w:p w14:paraId="2692DFBE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用途</w:t>
            </w:r>
          </w:p>
        </w:tc>
      </w:tr>
      <w:tr w14:paraId="0AC5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155" w:type="dxa"/>
            <w:vAlign w:val="center"/>
          </w:tcPr>
          <w:p w14:paraId="33E4F8F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用户操作日志</w:t>
            </w:r>
          </w:p>
        </w:tc>
        <w:tc>
          <w:tcPr>
            <w:tcW w:w="4536" w:type="dxa"/>
            <w:vAlign w:val="center"/>
          </w:tcPr>
          <w:p w14:paraId="3BD1E54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用户、模块、动作、业务主键、结果、时间</w:t>
            </w:r>
          </w:p>
        </w:tc>
        <w:tc>
          <w:tcPr>
            <w:tcW w:w="2948" w:type="dxa"/>
            <w:vAlign w:val="center"/>
          </w:tcPr>
          <w:p w14:paraId="2A88DF5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责任追溯和安全审计</w:t>
            </w:r>
          </w:p>
        </w:tc>
      </w:tr>
      <w:tr w14:paraId="5C547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155" w:type="dxa"/>
            <w:vAlign w:val="center"/>
          </w:tcPr>
          <w:p w14:paraId="415B0E9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API 请求/响应日志</w:t>
            </w:r>
          </w:p>
        </w:tc>
        <w:tc>
          <w:tcPr>
            <w:tcW w:w="4536" w:type="dxa"/>
            <w:vAlign w:val="center"/>
          </w:tcPr>
          <w:p w14:paraId="2A0B91C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命令、参数摘要、耗时、结果码、traceId</w:t>
            </w:r>
          </w:p>
        </w:tc>
        <w:tc>
          <w:tcPr>
            <w:tcW w:w="2948" w:type="dxa"/>
            <w:vAlign w:val="center"/>
          </w:tcPr>
          <w:p w14:paraId="57773AC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接口故障定位；敏感字段脱敏</w:t>
            </w:r>
          </w:p>
        </w:tc>
      </w:tr>
      <w:tr w14:paraId="21A4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155" w:type="dxa"/>
            <w:vAlign w:val="center"/>
          </w:tcPr>
          <w:p w14:paraId="5594C7C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数据库作业日志</w:t>
            </w:r>
          </w:p>
        </w:tc>
        <w:tc>
          <w:tcPr>
            <w:tcW w:w="4536" w:type="dxa"/>
            <w:vAlign w:val="center"/>
          </w:tcPr>
          <w:p w14:paraId="1EC764D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备份、同步、清理和计划任务结果</w:t>
            </w:r>
          </w:p>
        </w:tc>
        <w:tc>
          <w:tcPr>
            <w:tcW w:w="2948" w:type="dxa"/>
            <w:vAlign w:val="center"/>
          </w:tcPr>
          <w:p w14:paraId="7358806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运维检查和恢复依据</w:t>
            </w:r>
          </w:p>
        </w:tc>
      </w:tr>
      <w:tr w14:paraId="4A07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155" w:type="dxa"/>
            <w:vAlign w:val="center"/>
          </w:tcPr>
          <w:p w14:paraId="6A18FA1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外部集成日志</w:t>
            </w:r>
          </w:p>
        </w:tc>
        <w:tc>
          <w:tcPr>
            <w:tcW w:w="4536" w:type="dxa"/>
            <w:vAlign w:val="center"/>
          </w:tcPr>
          <w:p w14:paraId="2D27FE6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SAP/TM/AGV/设备调用状态和业务编号</w:t>
            </w:r>
          </w:p>
        </w:tc>
        <w:tc>
          <w:tcPr>
            <w:tcW w:w="2948" w:type="dxa"/>
            <w:vAlign w:val="center"/>
          </w:tcPr>
          <w:p w14:paraId="69901A6B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跨系统对账和补偿</w:t>
            </w:r>
          </w:p>
        </w:tc>
      </w:tr>
      <w:tr w14:paraId="2F2B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155" w:type="dxa"/>
            <w:vAlign w:val="center"/>
          </w:tcPr>
          <w:p w14:paraId="6E220B2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前端错误</w:t>
            </w:r>
          </w:p>
        </w:tc>
        <w:tc>
          <w:tcPr>
            <w:tcW w:w="4536" w:type="dxa"/>
            <w:vAlign w:val="center"/>
          </w:tcPr>
          <w:p w14:paraId="508B81F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页面、用户、版本、错误栈和时间</w:t>
            </w:r>
          </w:p>
        </w:tc>
        <w:tc>
          <w:tcPr>
            <w:tcW w:w="2948" w:type="dxa"/>
            <w:vAlign w:val="center"/>
          </w:tcPr>
          <w:p w14:paraId="7DFF045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定位浏览器端异常</w:t>
            </w:r>
          </w:p>
        </w:tc>
      </w:tr>
    </w:tbl>
    <w:p w14:paraId="3B69D51C">
      <w:pPr>
        <w:bidi w:val="0"/>
        <w:rPr>
          <w:rFonts w:hint="default"/>
          <w:lang w:eastAsia="zh-CN"/>
        </w:rPr>
      </w:pPr>
    </w:p>
    <w:p w14:paraId="0E96FACE">
      <w:pPr>
        <w:pStyle w:val="3"/>
        <w:bidi w:val="0"/>
        <w:rPr>
          <w:rFonts w:hint="eastAsia"/>
          <w:lang w:eastAsia="zh-CN"/>
        </w:rPr>
      </w:pPr>
      <w:bookmarkStart w:id="70" w:name="_Toc23668"/>
      <w:r>
        <w:rPr>
          <w:rFonts w:hint="eastAsia"/>
          <w:lang w:eastAsia="zh-CN"/>
        </w:rPr>
        <w:t>13.2 监控指标</w:t>
      </w:r>
      <w:bookmarkEnd w:id="70"/>
    </w:p>
    <w:p w14:paraId="679F040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站点与接口可用率、证书有效期、HTTP 5xx 和超时率。</w:t>
      </w:r>
    </w:p>
    <w:p w14:paraId="73A014F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MES 通用接口、B1、TM、AGV接口的P50/P95响应时间和失败率。</w:t>
      </w:r>
    </w:p>
    <w:p w14:paraId="58932553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数据库 CPU、内存、数据/日志空间、阻塞、死锁、慢查询和备份状态。</w:t>
      </w:r>
    </w:p>
    <w:p w14:paraId="4ED11F1C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订单同步延迟、待下发任务、超时任务、未闭环工时、待检和不合格处置积压。</w:t>
      </w:r>
    </w:p>
    <w:p w14:paraId="2E1EC748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文件服务容量、上传失败率和无业务引用文件。</w:t>
      </w:r>
    </w:p>
    <w:p w14:paraId="13FFBED7">
      <w:pPr>
        <w:pStyle w:val="3"/>
        <w:bidi w:val="0"/>
        <w:rPr>
          <w:rFonts w:hint="eastAsia"/>
          <w:lang w:eastAsia="zh-CN"/>
        </w:rPr>
      </w:pPr>
      <w:bookmarkStart w:id="71" w:name="_Toc9615"/>
      <w:r>
        <w:rPr>
          <w:rFonts w:hint="eastAsia"/>
          <w:lang w:eastAsia="zh-CN"/>
        </w:rPr>
        <w:t>13.3 告警分级</w:t>
      </w:r>
      <w:bookmarkEnd w:id="7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670"/>
        <w:gridCol w:w="2835"/>
      </w:tblGrid>
      <w:tr w14:paraId="2905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1134" w:type="dxa"/>
            <w:vAlign w:val="center"/>
          </w:tcPr>
          <w:p w14:paraId="2F6BA749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级别</w:t>
            </w:r>
          </w:p>
        </w:tc>
        <w:tc>
          <w:tcPr>
            <w:tcW w:w="5670" w:type="dxa"/>
            <w:vAlign w:val="center"/>
          </w:tcPr>
          <w:p w14:paraId="54779B0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示例</w:t>
            </w:r>
          </w:p>
        </w:tc>
        <w:tc>
          <w:tcPr>
            <w:tcW w:w="2835" w:type="dxa"/>
            <w:vAlign w:val="center"/>
          </w:tcPr>
          <w:p w14:paraId="2F7DAEA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响应目标</w:t>
            </w:r>
          </w:p>
        </w:tc>
      </w:tr>
      <w:tr w14:paraId="7BA6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CEB3BD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P1</w:t>
            </w:r>
          </w:p>
        </w:tc>
        <w:tc>
          <w:tcPr>
            <w:tcW w:w="5670" w:type="dxa"/>
            <w:vAlign w:val="center"/>
          </w:tcPr>
          <w:p w14:paraId="50BD482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系统不可用、数据破坏、越权或批量错误写入</w:t>
            </w:r>
          </w:p>
        </w:tc>
        <w:tc>
          <w:tcPr>
            <w:tcW w:w="2835" w:type="dxa"/>
            <w:vAlign w:val="center"/>
          </w:tcPr>
          <w:p w14:paraId="5E41EE3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立即响应，停止相关写入并启动应急</w:t>
            </w:r>
          </w:p>
        </w:tc>
      </w:tr>
      <w:tr w14:paraId="59EC6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F4D398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P2</w:t>
            </w:r>
          </w:p>
        </w:tc>
        <w:tc>
          <w:tcPr>
            <w:tcW w:w="5670" w:type="dxa"/>
            <w:vAlign w:val="center"/>
          </w:tcPr>
          <w:p w14:paraId="3A02510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核心模块不可用、SAP/AGV关键链路中断</w:t>
            </w:r>
          </w:p>
        </w:tc>
        <w:tc>
          <w:tcPr>
            <w:tcW w:w="2835" w:type="dxa"/>
            <w:vAlign w:val="center"/>
          </w:tcPr>
          <w:p w14:paraId="50820B8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30分钟内响应并给出绕行/恢复方案</w:t>
            </w:r>
          </w:p>
        </w:tc>
      </w:tr>
      <w:tr w14:paraId="2023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27BFFC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P3</w:t>
            </w:r>
          </w:p>
        </w:tc>
        <w:tc>
          <w:tcPr>
            <w:tcW w:w="5670" w:type="dxa"/>
            <w:vAlign w:val="center"/>
          </w:tcPr>
          <w:p w14:paraId="07735FD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单一报表、导出或非核心页面异常</w:t>
            </w:r>
          </w:p>
        </w:tc>
        <w:tc>
          <w:tcPr>
            <w:tcW w:w="2835" w:type="dxa"/>
            <w:vAlign w:val="center"/>
          </w:tcPr>
          <w:p w14:paraId="1AEA25D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工作时间内响应并纳入修复计划</w:t>
            </w:r>
          </w:p>
        </w:tc>
      </w:tr>
      <w:tr w14:paraId="4B1F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82DAC0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P4</w:t>
            </w:r>
          </w:p>
        </w:tc>
        <w:tc>
          <w:tcPr>
            <w:tcW w:w="5670" w:type="dxa"/>
            <w:vAlign w:val="center"/>
          </w:tcPr>
          <w:p w14:paraId="41A19CB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体验、文案或低风险数据展示问题</w:t>
            </w:r>
          </w:p>
        </w:tc>
        <w:tc>
          <w:tcPr>
            <w:tcW w:w="2835" w:type="dxa"/>
            <w:vAlign w:val="center"/>
          </w:tcPr>
          <w:p w14:paraId="5A86D9C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按版本排期</w:t>
            </w:r>
          </w:p>
        </w:tc>
      </w:tr>
    </w:tbl>
    <w:p w14:paraId="1133EE3D">
      <w:pPr>
        <w:bidi w:val="0"/>
        <w:rPr>
          <w:rFonts w:hint="default"/>
          <w:lang w:eastAsia="zh-CN"/>
        </w:rPr>
      </w:pPr>
    </w:p>
    <w:p w14:paraId="7D71D2D7">
      <w:pPr>
        <w:pStyle w:val="2"/>
        <w:bidi w:val="0"/>
        <w:rPr>
          <w:rFonts w:hint="eastAsia"/>
          <w:lang w:eastAsia="zh-CN"/>
        </w:rPr>
      </w:pPr>
      <w:bookmarkStart w:id="72" w:name="_Toc23594"/>
      <w:r>
        <w:rPr>
          <w:rFonts w:hint="eastAsia"/>
          <w:lang w:eastAsia="zh-CN"/>
        </w:rPr>
        <w:t>14 性能与容量</w:t>
      </w:r>
      <w:bookmarkEnd w:id="72"/>
    </w:p>
    <w:p w14:paraId="091EC356">
      <w:pPr>
        <w:pStyle w:val="3"/>
        <w:bidi w:val="0"/>
        <w:rPr>
          <w:rFonts w:hint="eastAsia"/>
          <w:lang w:eastAsia="zh-CN"/>
        </w:rPr>
      </w:pPr>
      <w:bookmarkStart w:id="73" w:name="_Toc12935"/>
      <w:r>
        <w:rPr>
          <w:rFonts w:hint="eastAsia"/>
          <w:lang w:eastAsia="zh-CN"/>
        </w:rPr>
        <w:t>14.1 查询规范</w:t>
      </w:r>
      <w:bookmarkEnd w:id="73"/>
    </w:p>
    <w:p w14:paraId="2F0D6C3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列表查询默认分页，日期范围和导出量设置上限。</w:t>
      </w:r>
    </w:p>
    <w:p w14:paraId="3669CA40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常用筛选字段建立与查询计划匹配的索引，避免对列进行不可搜索的函数包装。</w:t>
      </w:r>
    </w:p>
    <w:p w14:paraId="035E7090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页面首次加载不并发请求无关的大数据字典和全部明细；明细按需展开。</w:t>
      </w:r>
    </w:p>
    <w:p w14:paraId="5109A4FA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导出超过同步阈值时转后台任务，并提供下载状态。</w:t>
      </w:r>
    </w:p>
    <w:p w14:paraId="3BBB7C52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对25分钟的通用超时进行业务分类，避免浏览器长期占用连接。</w:t>
      </w:r>
    </w:p>
    <w:p w14:paraId="24066046">
      <w:pPr>
        <w:pStyle w:val="3"/>
        <w:bidi w:val="0"/>
        <w:rPr>
          <w:rFonts w:hint="eastAsia"/>
          <w:lang w:eastAsia="zh-CN"/>
        </w:rPr>
      </w:pPr>
      <w:bookmarkStart w:id="74" w:name="_Toc28950"/>
      <w:r>
        <w:rPr>
          <w:rFonts w:hint="eastAsia"/>
          <w:lang w:eastAsia="zh-CN"/>
        </w:rPr>
        <w:t>14.2 容量基线与趋势</w:t>
      </w:r>
      <w:bookmarkEnd w:id="74"/>
    </w:p>
    <w:p w14:paraId="2126B383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当前数据库约19.44 GB。运维应每月记录数据文件、日志文件、核心大表行数、附件容量和增长率；当预计剩余空间不足三个月时提前扩容或归档。归档必须保持订单、任务、工时、质量和审计记录之间的可追溯性。</w:t>
      </w:r>
    </w:p>
    <w:p w14:paraId="74F763EC">
      <w:pPr>
        <w:pStyle w:val="3"/>
        <w:bidi w:val="0"/>
        <w:rPr>
          <w:rFonts w:hint="eastAsia"/>
          <w:lang w:eastAsia="zh-CN"/>
        </w:rPr>
      </w:pPr>
      <w:bookmarkStart w:id="75" w:name="_Toc8168"/>
      <w:r>
        <w:rPr>
          <w:rFonts w:hint="eastAsia"/>
          <w:lang w:eastAsia="zh-CN"/>
        </w:rPr>
        <w:t>14.3 性能验收建议</w:t>
      </w:r>
      <w:bookmarkEnd w:id="75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2835"/>
        <w:gridCol w:w="4536"/>
      </w:tblGrid>
      <w:tr w14:paraId="6901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2268" w:type="dxa"/>
            <w:vAlign w:val="center"/>
          </w:tcPr>
          <w:p w14:paraId="442BC0C7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场景</w:t>
            </w:r>
          </w:p>
        </w:tc>
        <w:tc>
          <w:tcPr>
            <w:tcW w:w="2835" w:type="dxa"/>
            <w:vAlign w:val="center"/>
          </w:tcPr>
          <w:p w14:paraId="00CF2EF3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建议目标</w:t>
            </w:r>
          </w:p>
        </w:tc>
        <w:tc>
          <w:tcPr>
            <w:tcW w:w="4536" w:type="dxa"/>
            <w:vAlign w:val="center"/>
          </w:tcPr>
          <w:p w14:paraId="3DC82D2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备注</w:t>
            </w:r>
          </w:p>
        </w:tc>
      </w:tr>
      <w:tr w14:paraId="17C18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049218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登录与菜单</w:t>
            </w:r>
          </w:p>
        </w:tc>
        <w:tc>
          <w:tcPr>
            <w:tcW w:w="2835" w:type="dxa"/>
            <w:vAlign w:val="center"/>
          </w:tcPr>
          <w:p w14:paraId="2198630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正常内网条件下5秒内完成</w:t>
            </w:r>
          </w:p>
        </w:tc>
        <w:tc>
          <w:tcPr>
            <w:tcW w:w="4536" w:type="dxa"/>
            <w:vAlign w:val="center"/>
          </w:tcPr>
          <w:p w14:paraId="7B91C51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包含动态路由构建</w:t>
            </w:r>
          </w:p>
        </w:tc>
      </w:tr>
      <w:tr w14:paraId="739E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4D178B9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普通分页查询</w:t>
            </w:r>
          </w:p>
        </w:tc>
        <w:tc>
          <w:tcPr>
            <w:tcW w:w="2835" w:type="dxa"/>
            <w:vAlign w:val="center"/>
          </w:tcPr>
          <w:p w14:paraId="7DD541C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P95不超过5秒</w:t>
            </w:r>
          </w:p>
        </w:tc>
        <w:tc>
          <w:tcPr>
            <w:tcW w:w="4536" w:type="dxa"/>
            <w:vAlign w:val="center"/>
          </w:tcPr>
          <w:p w14:paraId="1297B8D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合理筛选范围</w:t>
            </w:r>
          </w:p>
        </w:tc>
      </w:tr>
      <w:tr w14:paraId="5FE9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0248792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复杂统计报表</w:t>
            </w:r>
          </w:p>
        </w:tc>
        <w:tc>
          <w:tcPr>
            <w:tcW w:w="2835" w:type="dxa"/>
            <w:vAlign w:val="center"/>
          </w:tcPr>
          <w:p w14:paraId="175AD8D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P95不超过15秒</w:t>
            </w:r>
          </w:p>
        </w:tc>
        <w:tc>
          <w:tcPr>
            <w:tcW w:w="4536" w:type="dxa"/>
            <w:vAlign w:val="center"/>
          </w:tcPr>
          <w:p w14:paraId="3902539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超过阈值采用异步</w:t>
            </w:r>
          </w:p>
        </w:tc>
      </w:tr>
      <w:tr w14:paraId="611B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AFC5CA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保存/状态操作</w:t>
            </w:r>
          </w:p>
        </w:tc>
        <w:tc>
          <w:tcPr>
            <w:tcW w:w="2835" w:type="dxa"/>
            <w:vAlign w:val="center"/>
          </w:tcPr>
          <w:p w14:paraId="213A81A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P95不超过5秒</w:t>
            </w:r>
          </w:p>
        </w:tc>
        <w:tc>
          <w:tcPr>
            <w:tcW w:w="4536" w:type="dxa"/>
            <w:vAlign w:val="center"/>
          </w:tcPr>
          <w:p w14:paraId="6D2D0F5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不含不可控外部系统等待</w:t>
            </w:r>
          </w:p>
        </w:tc>
      </w:tr>
      <w:tr w14:paraId="6ABBA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0970D62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关键外部接口</w:t>
            </w:r>
          </w:p>
        </w:tc>
        <w:tc>
          <w:tcPr>
            <w:tcW w:w="2835" w:type="dxa"/>
            <w:vAlign w:val="center"/>
          </w:tcPr>
          <w:p w14:paraId="16E5260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定义独立超时、重试和熔断</w:t>
            </w:r>
          </w:p>
        </w:tc>
        <w:tc>
          <w:tcPr>
            <w:tcW w:w="4536" w:type="dxa"/>
            <w:vAlign w:val="center"/>
          </w:tcPr>
          <w:p w14:paraId="167E0CE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避免整页无期限等待</w:t>
            </w:r>
          </w:p>
        </w:tc>
      </w:tr>
    </w:tbl>
    <w:p w14:paraId="07BCD42C">
      <w:pPr>
        <w:bidi w:val="0"/>
        <w:rPr>
          <w:rFonts w:hint="default"/>
          <w:lang w:eastAsia="zh-CN"/>
        </w:rPr>
      </w:pPr>
    </w:p>
    <w:p w14:paraId="500F663C">
      <w:pPr>
        <w:pStyle w:val="2"/>
        <w:bidi w:val="0"/>
        <w:rPr>
          <w:rFonts w:hint="eastAsia"/>
          <w:lang w:eastAsia="zh-CN"/>
        </w:rPr>
      </w:pPr>
      <w:bookmarkStart w:id="76" w:name="_Toc1439"/>
      <w:r>
        <w:rPr>
          <w:rFonts w:hint="eastAsia"/>
          <w:lang w:eastAsia="zh-CN"/>
        </w:rPr>
        <w:t>15 运维与故障处理</w:t>
      </w:r>
      <w:bookmarkEnd w:id="76"/>
    </w:p>
    <w:p w14:paraId="4B9B9EFE">
      <w:pPr>
        <w:pStyle w:val="3"/>
        <w:bidi w:val="0"/>
        <w:rPr>
          <w:rFonts w:hint="eastAsia"/>
          <w:lang w:eastAsia="zh-CN"/>
        </w:rPr>
      </w:pPr>
      <w:bookmarkStart w:id="77" w:name="_Toc10465"/>
      <w:r>
        <w:rPr>
          <w:rFonts w:hint="eastAsia"/>
          <w:lang w:eastAsia="zh-CN"/>
        </w:rPr>
        <w:t>15.1 日常检查</w:t>
      </w:r>
      <w:bookmarkEnd w:id="77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7938"/>
      </w:tblGrid>
      <w:tr w14:paraId="0019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1701" w:type="dxa"/>
            <w:vAlign w:val="center"/>
          </w:tcPr>
          <w:p w14:paraId="7B82293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频率</w:t>
            </w:r>
          </w:p>
        </w:tc>
        <w:tc>
          <w:tcPr>
            <w:tcW w:w="7938" w:type="dxa"/>
            <w:vAlign w:val="center"/>
          </w:tcPr>
          <w:p w14:paraId="3A99CEA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检查项</w:t>
            </w:r>
          </w:p>
        </w:tc>
      </w:tr>
      <w:tr w14:paraId="514F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2D120D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每日</w:t>
            </w:r>
          </w:p>
        </w:tc>
        <w:tc>
          <w:tcPr>
            <w:tcW w:w="7938" w:type="dxa"/>
            <w:vAlign w:val="center"/>
          </w:tcPr>
          <w:p w14:paraId="71163CCC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站点/API可用、数据库空间、备份结果、同步/作业、P1/P2告警、待处理外部接口失败</w:t>
            </w:r>
          </w:p>
        </w:tc>
      </w:tr>
      <w:tr w14:paraId="3F63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6872BBD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每周</w:t>
            </w:r>
          </w:p>
        </w:tc>
        <w:tc>
          <w:tcPr>
            <w:tcW w:w="7938" w:type="dxa"/>
            <w:vAlign w:val="center"/>
          </w:tcPr>
          <w:p w14:paraId="034CA06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慢查询、阻塞/死锁、异常日志趋势、菜单权限变更、附件增长和关键业务积压</w:t>
            </w:r>
          </w:p>
        </w:tc>
      </w:tr>
      <w:tr w14:paraId="5D7A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5DF4A42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每月</w:t>
            </w:r>
          </w:p>
        </w:tc>
        <w:tc>
          <w:tcPr>
            <w:tcW w:w="7938" w:type="dxa"/>
            <w:vAlign w:val="center"/>
          </w:tcPr>
          <w:p w14:paraId="25D5683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容量趋势、账号权限复核、证书/密码到期、依赖漏洞、恢复点与监控覆盖</w:t>
            </w:r>
          </w:p>
        </w:tc>
      </w:tr>
      <w:tr w14:paraId="02D3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57863FC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每季度</w:t>
            </w:r>
          </w:p>
        </w:tc>
        <w:tc>
          <w:tcPr>
            <w:tcW w:w="7938" w:type="dxa"/>
            <w:vAlign w:val="center"/>
          </w:tcPr>
          <w:p w14:paraId="5546C35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恢复演练、应急演练、技术债评审和关键业务全链路回归</w:t>
            </w:r>
          </w:p>
        </w:tc>
      </w:tr>
    </w:tbl>
    <w:p w14:paraId="1113FC34">
      <w:pPr>
        <w:bidi w:val="0"/>
        <w:rPr>
          <w:rFonts w:hint="default"/>
          <w:lang w:eastAsia="zh-CN"/>
        </w:rPr>
      </w:pPr>
    </w:p>
    <w:p w14:paraId="1B48B754">
      <w:pPr>
        <w:pStyle w:val="3"/>
        <w:bidi w:val="0"/>
        <w:rPr>
          <w:rFonts w:hint="eastAsia"/>
          <w:lang w:eastAsia="zh-CN"/>
        </w:rPr>
      </w:pPr>
      <w:bookmarkStart w:id="78" w:name="_Toc283"/>
      <w:r>
        <w:rPr>
          <w:rFonts w:hint="eastAsia"/>
          <w:lang w:eastAsia="zh-CN"/>
        </w:rPr>
        <w:t>15.2 故障定位顺序</w:t>
      </w:r>
      <w:bookmarkEnd w:id="78"/>
    </w:p>
    <w:p w14:paraId="153193F1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确认影响范围：单用户、单角色、单页面、单接口、单数据库对象或全系统。</w:t>
      </w:r>
    </w:p>
    <w:p w14:paraId="159ADB68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记录时间、用户、页面、业务编号、操作和错误信息，不要求用户重复高风险操作。</w:t>
      </w:r>
    </w:p>
    <w:p w14:paraId="3060F3DD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检查浏览器网络请求、服务可用性、外部系统状态和数据库阻塞/错误。</w:t>
      </w:r>
    </w:p>
    <w:p w14:paraId="17AE838E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使用 traceId、业务主键和操作人关联前端、服务、数据库与外部接口日志。</w:t>
      </w:r>
    </w:p>
    <w:p w14:paraId="06A2487B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需要数据修复时先备份和评估影响，使用经评审脚本，完成后验证上下游一致性。</w:t>
      </w:r>
    </w:p>
    <w:p w14:paraId="7EF025BD">
      <w:pPr>
        <w:pStyle w:val="3"/>
        <w:bidi w:val="0"/>
        <w:rPr>
          <w:rFonts w:hint="eastAsia"/>
          <w:lang w:eastAsia="zh-CN"/>
        </w:rPr>
      </w:pPr>
      <w:bookmarkStart w:id="79" w:name="_Toc13539"/>
      <w:r>
        <w:rPr>
          <w:rFonts w:hint="eastAsia"/>
          <w:lang w:eastAsia="zh-CN"/>
        </w:rPr>
        <w:t>15.3 常见故障矩阵</w:t>
      </w:r>
      <w:bookmarkEnd w:id="79"/>
    </w:p>
    <w:tbl>
      <w:tblPr>
        <w:tblStyle w:val="10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8"/>
        <w:gridCol w:w="4820"/>
        <w:gridCol w:w="2552"/>
      </w:tblGrid>
      <w:tr w14:paraId="4AC8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2268" w:type="dxa"/>
            <w:vAlign w:val="center"/>
          </w:tcPr>
          <w:p w14:paraId="36B97E4B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现象</w:t>
            </w:r>
          </w:p>
        </w:tc>
        <w:tc>
          <w:tcPr>
            <w:tcW w:w="4820" w:type="dxa"/>
            <w:vAlign w:val="center"/>
          </w:tcPr>
          <w:p w14:paraId="4D4AC81C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优先检查</w:t>
            </w:r>
          </w:p>
        </w:tc>
        <w:tc>
          <w:tcPr>
            <w:tcW w:w="2552" w:type="dxa"/>
            <w:vAlign w:val="center"/>
          </w:tcPr>
          <w:p w14:paraId="3A5F7618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禁止做法</w:t>
            </w:r>
          </w:p>
        </w:tc>
      </w:tr>
      <w:tr w14:paraId="2C44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E0B764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登录后无菜单</w:t>
            </w:r>
          </w:p>
        </w:tc>
        <w:tc>
          <w:tcPr>
            <w:tcW w:w="4820" w:type="dxa"/>
            <w:vAlign w:val="center"/>
          </w:tcPr>
          <w:p w14:paraId="7224ABC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角色、菜单启用、组件路径、Cookie和getInfo返回</w:t>
            </w:r>
          </w:p>
        </w:tc>
        <w:tc>
          <w:tcPr>
            <w:tcW w:w="2552" w:type="dxa"/>
            <w:vAlign w:val="center"/>
          </w:tcPr>
          <w:p w14:paraId="2B0852D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直接给管理员权限绕过</w:t>
            </w:r>
          </w:p>
        </w:tc>
      </w:tr>
      <w:tr w14:paraId="495E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7C15E0D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页面一直加载</w:t>
            </w:r>
          </w:p>
        </w:tc>
        <w:tc>
          <w:tcPr>
            <w:tcW w:w="4820" w:type="dxa"/>
            <w:vAlign w:val="center"/>
          </w:tcPr>
          <w:p w14:paraId="2B711F2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网络请求、25分钟超时、数据库阻塞和返回规模</w:t>
            </w:r>
          </w:p>
        </w:tc>
        <w:tc>
          <w:tcPr>
            <w:tcW w:w="2552" w:type="dxa"/>
            <w:vAlign w:val="center"/>
          </w:tcPr>
          <w:p w14:paraId="2C19B94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连续刷新并重复写操作</w:t>
            </w:r>
          </w:p>
        </w:tc>
      </w:tr>
      <w:tr w14:paraId="4DA95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678DE8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保存成功但列表未变</w:t>
            </w:r>
          </w:p>
        </w:tc>
        <w:tc>
          <w:tcPr>
            <w:tcW w:w="4820" w:type="dxa"/>
            <w:vAlign w:val="center"/>
          </w:tcPr>
          <w:p w14:paraId="5401656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返回结果、事务提交、查询条件、缓存和刷新逻辑</w:t>
            </w:r>
          </w:p>
        </w:tc>
        <w:tc>
          <w:tcPr>
            <w:tcW w:w="2552" w:type="dxa"/>
            <w:vAlign w:val="center"/>
          </w:tcPr>
          <w:p w14:paraId="6271AA7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未核对数据就再次新增</w:t>
            </w:r>
          </w:p>
        </w:tc>
      </w:tr>
      <w:tr w14:paraId="7226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414ED49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SAP/AGV失败</w:t>
            </w:r>
          </w:p>
        </w:tc>
        <w:tc>
          <w:tcPr>
            <w:tcW w:w="4820" w:type="dxa"/>
            <w:vAlign w:val="center"/>
          </w:tcPr>
          <w:p w14:paraId="5083C42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外部接口日志、业务编号、幂等状态和MES本地状态</w:t>
            </w:r>
          </w:p>
        </w:tc>
        <w:tc>
          <w:tcPr>
            <w:tcW w:w="2552" w:type="dxa"/>
            <w:vAlign w:val="center"/>
          </w:tcPr>
          <w:p w14:paraId="5796457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盲目重复下发</w:t>
            </w:r>
          </w:p>
        </w:tc>
      </w:tr>
      <w:tr w14:paraId="5DB5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106BD97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工时/数量不一致</w:t>
            </w:r>
          </w:p>
        </w:tc>
        <w:tc>
          <w:tcPr>
            <w:tcW w:w="4820" w:type="dxa"/>
            <w:vAlign w:val="center"/>
          </w:tcPr>
          <w:p w14:paraId="48DAC83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操作记录、报工、检验、修正审计和累计边界</w:t>
            </w:r>
          </w:p>
        </w:tc>
        <w:tc>
          <w:tcPr>
            <w:tcW w:w="2552" w:type="dxa"/>
            <w:vAlign w:val="center"/>
          </w:tcPr>
          <w:p w14:paraId="7AFFC1E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直接覆盖原始记录</w:t>
            </w:r>
          </w:p>
        </w:tc>
      </w:tr>
      <w:tr w14:paraId="078C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268" w:type="dxa"/>
            <w:vAlign w:val="center"/>
          </w:tcPr>
          <w:p w14:paraId="3C64E88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图纸打不开</w:t>
            </w:r>
          </w:p>
        </w:tc>
        <w:tc>
          <w:tcPr>
            <w:tcW w:w="4820" w:type="dxa"/>
            <w:vAlign w:val="center"/>
          </w:tcPr>
          <w:p w14:paraId="589F783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文件元数据、物理文件、权限、MIME和路径</w:t>
            </w:r>
          </w:p>
        </w:tc>
        <w:tc>
          <w:tcPr>
            <w:tcW w:w="2552" w:type="dxa"/>
            <w:vAlign w:val="center"/>
          </w:tcPr>
          <w:p w14:paraId="69C5F39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将目录改为匿名公开</w:t>
            </w:r>
          </w:p>
        </w:tc>
      </w:tr>
    </w:tbl>
    <w:p w14:paraId="24CDDF46">
      <w:pPr>
        <w:bidi w:val="0"/>
        <w:rPr>
          <w:rFonts w:hint="default"/>
          <w:lang w:eastAsia="zh-CN"/>
        </w:rPr>
      </w:pPr>
    </w:p>
    <w:p w14:paraId="284C8A76">
      <w:pPr>
        <w:pStyle w:val="2"/>
        <w:bidi w:val="0"/>
        <w:rPr>
          <w:rFonts w:hint="eastAsia"/>
          <w:lang w:eastAsia="zh-CN"/>
        </w:rPr>
      </w:pPr>
      <w:bookmarkStart w:id="80" w:name="_Toc7382"/>
      <w:r>
        <w:rPr>
          <w:rFonts w:hint="eastAsia"/>
          <w:lang w:eastAsia="zh-CN"/>
        </w:rPr>
        <w:t>16 变更、发布与回退</w:t>
      </w:r>
      <w:bookmarkEnd w:id="80"/>
    </w:p>
    <w:p w14:paraId="16B40739">
      <w:pPr>
        <w:pStyle w:val="3"/>
        <w:bidi w:val="0"/>
        <w:rPr>
          <w:rFonts w:hint="eastAsia"/>
          <w:lang w:eastAsia="zh-CN"/>
        </w:rPr>
      </w:pPr>
      <w:bookmarkStart w:id="81" w:name="_Toc28935"/>
      <w:r>
        <w:rPr>
          <w:rFonts w:hint="eastAsia"/>
          <w:lang w:eastAsia="zh-CN"/>
        </w:rPr>
        <w:t>16.1 标准变更流程</w:t>
      </w:r>
      <w:bookmarkEnd w:id="81"/>
    </w:p>
    <w:p w14:paraId="398AD4E5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提出变更：说明问题、范围、业务规则、数据影响、权限影响和验收标准。</w:t>
      </w:r>
    </w:p>
    <w:p w14:paraId="6DA509D0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技术分析：定位页面、共享工具、接口、过程、表、视图、菜单和外部系统影响。</w:t>
      </w:r>
    </w:p>
    <w:p w14:paraId="64A79D3E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实施：代码和数据库脚本分离管理；正式凭据不进入版本库。</w:t>
      </w:r>
    </w:p>
    <w:p w14:paraId="1242CC21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验证：静态检查、单元/定向测试、接口测试、数据库只读验证和关键链路回归。</w:t>
      </w:r>
    </w:p>
    <w:p w14:paraId="5CED8345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发布：备份、窗口确认、脚本执行、前端发布、配置核对和冒烟测试。</w:t>
      </w:r>
    </w:p>
    <w:p w14:paraId="1A6073A3">
      <w:pPr>
        <w:bidi w:val="0"/>
        <w:ind w:left="425"/>
        <w:rPr>
          <w:rFonts w:hint="eastAsia"/>
          <w:lang w:eastAsia="zh-CN"/>
        </w:rPr>
      </w:pPr>
      <w:r>
        <w:rPr>
          <w:rFonts w:hint="eastAsia"/>
          <w:lang w:eastAsia="zh-CN"/>
        </w:rPr>
        <w:t>观察与回退：监控错误率和业务状态；达到回退条件时按预案恢复。</w:t>
      </w:r>
    </w:p>
    <w:p w14:paraId="4696A858">
      <w:pPr>
        <w:pStyle w:val="3"/>
        <w:bidi w:val="0"/>
        <w:rPr>
          <w:rFonts w:hint="eastAsia"/>
          <w:lang w:eastAsia="zh-CN"/>
        </w:rPr>
      </w:pPr>
      <w:bookmarkStart w:id="82" w:name="_Toc20103"/>
      <w:r>
        <w:rPr>
          <w:rFonts w:hint="eastAsia"/>
          <w:lang w:eastAsia="zh-CN"/>
        </w:rPr>
        <w:t>16.2 数据库脚本规范</w:t>
      </w:r>
      <w:bookmarkEnd w:id="82"/>
    </w:p>
    <w:p w14:paraId="6029D76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文件名包含动作、模块、日期；不覆盖历史脚本。</w:t>
      </w:r>
    </w:p>
    <w:p w14:paraId="501C5E0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先备份被修改对象定义；脚本使用 TRY/CATCH、事务和 XACT_ABORT。</w:t>
      </w:r>
    </w:p>
    <w:p w14:paraId="42B86409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对象创建/修改具备前置检查，重复执行不会产生重复业务数据。</w:t>
      </w:r>
    </w:p>
    <w:p w14:paraId="0CEC3838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禁止在同一脚本中混入无关结构变更和业务数据修复。</w:t>
      </w:r>
    </w:p>
    <w:p w14:paraId="022DF7C7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附带只读验证查询和明确回退方案；正式执行结果写入变更记录。</w:t>
      </w:r>
    </w:p>
    <w:p w14:paraId="7F71627C">
      <w:pPr>
        <w:pStyle w:val="3"/>
        <w:bidi w:val="0"/>
        <w:rPr>
          <w:rFonts w:hint="eastAsia"/>
          <w:lang w:eastAsia="zh-CN"/>
        </w:rPr>
      </w:pPr>
      <w:bookmarkStart w:id="83" w:name="_Toc27967"/>
      <w:r>
        <w:rPr>
          <w:rFonts w:hint="eastAsia"/>
          <w:lang w:eastAsia="zh-CN"/>
        </w:rPr>
        <w:t>16.3 前端发布检查</w:t>
      </w:r>
      <w:bookmarkEnd w:id="83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4"/>
        <w:gridCol w:w="7655"/>
      </w:tblGrid>
      <w:tr w14:paraId="2F39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984" w:type="dxa"/>
            <w:vAlign w:val="center"/>
          </w:tcPr>
          <w:p w14:paraId="1A9752F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阶段</w:t>
            </w:r>
          </w:p>
        </w:tc>
        <w:tc>
          <w:tcPr>
            <w:tcW w:w="7655" w:type="dxa"/>
            <w:vAlign w:val="center"/>
          </w:tcPr>
          <w:p w14:paraId="1BD3003E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检查项</w:t>
            </w:r>
          </w:p>
        </w:tc>
      </w:tr>
      <w:tr w14:paraId="63A5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59163A9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构建前</w:t>
            </w:r>
          </w:p>
        </w:tc>
        <w:tc>
          <w:tcPr>
            <w:tcW w:w="7655" w:type="dxa"/>
            <w:vAlign w:val="center"/>
          </w:tcPr>
          <w:p w14:paraId="5854ADA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锁文件一致、Node/npm版本、ESLint、git diff --check、无敏感信息</w:t>
            </w:r>
          </w:p>
        </w:tc>
      </w:tr>
      <w:tr w14:paraId="150F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42D1DE0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构建后</w:t>
            </w:r>
          </w:p>
        </w:tc>
        <w:tc>
          <w:tcPr>
            <w:tcW w:w="7655" w:type="dxa"/>
            <w:vAlign w:val="center"/>
          </w:tcPr>
          <w:p w14:paraId="481E128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index、JS/CSS、图标字体、懒加载页面、static/config.js</w:t>
            </w:r>
          </w:p>
        </w:tc>
      </w:tr>
      <w:tr w14:paraId="6F8C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32BDCA8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发布后</w:t>
            </w:r>
          </w:p>
        </w:tc>
        <w:tc>
          <w:tcPr>
            <w:tcW w:w="7655" w:type="dxa"/>
            <w:vAlign w:val="center"/>
          </w:tcPr>
          <w:p w14:paraId="456A7143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HTTPS、缓存、登录、目标角色菜单、核心查询/写入、附件、导出</w:t>
            </w:r>
          </w:p>
        </w:tc>
      </w:tr>
      <w:tr w14:paraId="0FE9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984" w:type="dxa"/>
            <w:vAlign w:val="center"/>
          </w:tcPr>
          <w:p w14:paraId="40F4621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观察期</w:t>
            </w:r>
          </w:p>
        </w:tc>
        <w:tc>
          <w:tcPr>
            <w:tcW w:w="7655" w:type="dxa"/>
            <w:vAlign w:val="center"/>
          </w:tcPr>
          <w:p w14:paraId="06B8A8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前端错误、接口失败、数据库阻塞和用户反馈</w:t>
            </w:r>
          </w:p>
        </w:tc>
      </w:tr>
    </w:tbl>
    <w:p w14:paraId="66B13CD6">
      <w:pPr>
        <w:bidi w:val="0"/>
        <w:rPr>
          <w:rFonts w:hint="default"/>
          <w:lang w:eastAsia="zh-CN"/>
        </w:rPr>
      </w:pPr>
    </w:p>
    <w:p w14:paraId="0A91342C">
      <w:pPr>
        <w:pStyle w:val="2"/>
        <w:bidi w:val="0"/>
        <w:rPr>
          <w:rFonts w:hint="eastAsia"/>
          <w:lang w:eastAsia="zh-CN"/>
        </w:rPr>
      </w:pPr>
      <w:bookmarkStart w:id="84" w:name="_Toc23328"/>
      <w:r>
        <w:rPr>
          <w:rFonts w:hint="eastAsia"/>
          <w:lang w:eastAsia="zh-CN"/>
        </w:rPr>
        <w:t>17 测试与验收</w:t>
      </w:r>
      <w:bookmarkEnd w:id="84"/>
    </w:p>
    <w:p w14:paraId="04647449">
      <w:pPr>
        <w:pStyle w:val="3"/>
        <w:bidi w:val="0"/>
        <w:rPr>
          <w:rFonts w:hint="eastAsia"/>
          <w:lang w:eastAsia="zh-CN"/>
        </w:rPr>
      </w:pPr>
      <w:bookmarkStart w:id="85" w:name="_Toc9302"/>
      <w:r>
        <w:rPr>
          <w:rFonts w:hint="eastAsia"/>
          <w:lang w:eastAsia="zh-CN"/>
        </w:rPr>
        <w:t>17.1 测试层次</w:t>
      </w:r>
      <w:bookmarkEnd w:id="85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4536"/>
        <w:gridCol w:w="3289"/>
      </w:tblGrid>
      <w:tr w14:paraId="2818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814" w:type="dxa"/>
            <w:vAlign w:val="center"/>
          </w:tcPr>
          <w:p w14:paraId="070514EA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层次</w:t>
            </w:r>
          </w:p>
        </w:tc>
        <w:tc>
          <w:tcPr>
            <w:tcW w:w="4536" w:type="dxa"/>
            <w:vAlign w:val="center"/>
          </w:tcPr>
          <w:p w14:paraId="558900A8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覆盖重点</w:t>
            </w:r>
          </w:p>
        </w:tc>
        <w:tc>
          <w:tcPr>
            <w:tcW w:w="3289" w:type="dxa"/>
            <w:vAlign w:val="center"/>
          </w:tcPr>
          <w:p w14:paraId="6DE78194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证据</w:t>
            </w:r>
          </w:p>
        </w:tc>
      </w:tr>
      <w:tr w14:paraId="2BCA9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B4D52A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静态检查</w:t>
            </w:r>
          </w:p>
        </w:tc>
        <w:tc>
          <w:tcPr>
            <w:tcW w:w="4536" w:type="dxa"/>
            <w:vAlign w:val="center"/>
          </w:tcPr>
          <w:p w14:paraId="25B6FA3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ESLint、编码、敏感信息、脚本语法</w:t>
            </w:r>
          </w:p>
        </w:tc>
        <w:tc>
          <w:tcPr>
            <w:tcW w:w="3289" w:type="dxa"/>
            <w:vAlign w:val="center"/>
          </w:tcPr>
          <w:p w14:paraId="6CC1918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命令输出与检查报告</w:t>
            </w:r>
          </w:p>
        </w:tc>
      </w:tr>
      <w:tr w14:paraId="09B9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13E4F3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组件/函数</w:t>
            </w:r>
          </w:p>
        </w:tc>
        <w:tc>
          <w:tcPr>
            <w:tcW w:w="4536" w:type="dxa"/>
            <w:vAlign w:val="center"/>
          </w:tcPr>
          <w:p w14:paraId="676BF91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校验、状态计算、导出字段和共享工具</w:t>
            </w:r>
          </w:p>
        </w:tc>
        <w:tc>
          <w:tcPr>
            <w:tcW w:w="3289" w:type="dxa"/>
            <w:vAlign w:val="center"/>
          </w:tcPr>
          <w:p w14:paraId="7D8E445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自动化测试结果</w:t>
            </w:r>
          </w:p>
        </w:tc>
      </w:tr>
      <w:tr w14:paraId="3F89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0E8B3B4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接口</w:t>
            </w:r>
          </w:p>
        </w:tc>
        <w:tc>
          <w:tcPr>
            <w:tcW w:w="4536" w:type="dxa"/>
            <w:vAlign w:val="center"/>
          </w:tcPr>
          <w:p w14:paraId="4C01793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参数、权限、分页、错误、幂等和事务</w:t>
            </w:r>
          </w:p>
        </w:tc>
        <w:tc>
          <w:tcPr>
            <w:tcW w:w="3289" w:type="dxa"/>
            <w:vAlign w:val="center"/>
          </w:tcPr>
          <w:p w14:paraId="53BFF02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请求响应样例与数据库核对</w:t>
            </w:r>
          </w:p>
        </w:tc>
      </w:tr>
      <w:tr w14:paraId="43DB4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53FE1EA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业务链路</w:t>
            </w:r>
          </w:p>
        </w:tc>
        <w:tc>
          <w:tcPr>
            <w:tcW w:w="4536" w:type="dxa"/>
            <w:vAlign w:val="center"/>
          </w:tcPr>
          <w:p w14:paraId="5D05E2B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工艺→排产→下发→生产→质量→关闭/交付</w:t>
            </w:r>
          </w:p>
        </w:tc>
        <w:tc>
          <w:tcPr>
            <w:tcW w:w="3289" w:type="dxa"/>
            <w:vAlign w:val="center"/>
          </w:tcPr>
          <w:p w14:paraId="73E3CF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测试记录和状态截图</w:t>
            </w:r>
          </w:p>
        </w:tc>
      </w:tr>
      <w:tr w14:paraId="228F6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6D1082C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角色权限</w:t>
            </w:r>
          </w:p>
        </w:tc>
        <w:tc>
          <w:tcPr>
            <w:tcW w:w="4536" w:type="dxa"/>
            <w:vAlign w:val="center"/>
          </w:tcPr>
          <w:p w14:paraId="36B6BE8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不同角色的菜单、按钮和数据范围</w:t>
            </w:r>
          </w:p>
        </w:tc>
        <w:tc>
          <w:tcPr>
            <w:tcW w:w="3289" w:type="dxa"/>
            <w:vAlign w:val="center"/>
          </w:tcPr>
          <w:p w14:paraId="0CAFCC3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权限矩阵</w:t>
            </w:r>
          </w:p>
        </w:tc>
      </w:tr>
      <w:tr w14:paraId="4108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814" w:type="dxa"/>
            <w:vAlign w:val="center"/>
          </w:tcPr>
          <w:p w14:paraId="1DEB6E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非功能</w:t>
            </w:r>
          </w:p>
        </w:tc>
        <w:tc>
          <w:tcPr>
            <w:tcW w:w="4536" w:type="dxa"/>
            <w:vAlign w:val="center"/>
          </w:tcPr>
          <w:p w14:paraId="7C7135B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性能、恢复、安全、兼容性和容量</w:t>
            </w:r>
          </w:p>
        </w:tc>
        <w:tc>
          <w:tcPr>
            <w:tcW w:w="3289" w:type="dxa"/>
            <w:vAlign w:val="center"/>
          </w:tcPr>
          <w:p w14:paraId="65E2854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压测/演练/扫描报告</w:t>
            </w:r>
          </w:p>
        </w:tc>
      </w:tr>
    </w:tbl>
    <w:p w14:paraId="15973179">
      <w:pPr>
        <w:bidi w:val="0"/>
        <w:rPr>
          <w:rFonts w:hint="default"/>
          <w:lang w:eastAsia="zh-CN"/>
        </w:rPr>
      </w:pPr>
    </w:p>
    <w:p w14:paraId="487C9080">
      <w:pPr>
        <w:pStyle w:val="3"/>
        <w:bidi w:val="0"/>
        <w:rPr>
          <w:rFonts w:hint="eastAsia"/>
          <w:lang w:eastAsia="zh-CN"/>
        </w:rPr>
      </w:pPr>
      <w:bookmarkStart w:id="86" w:name="_Toc32085"/>
      <w:r>
        <w:rPr>
          <w:rFonts w:hint="eastAsia"/>
          <w:lang w:eastAsia="zh-CN"/>
        </w:rPr>
        <w:t>17.2 核心回归场景</w:t>
      </w:r>
      <w:bookmarkEnd w:id="86"/>
    </w:p>
    <w:p w14:paraId="661C23B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登录、单/多角色选择、菜单加载和退出。</w:t>
      </w:r>
    </w:p>
    <w:p w14:paraId="4F113FBB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标准工艺生成生产工艺、编辑、保存启用、整单和单工序下发。</w:t>
      </w:r>
    </w:p>
    <w:p w14:paraId="3C40CDDE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机加与装配排产、计划时间/工位/人员/数量调整及已排产查询。</w:t>
      </w:r>
    </w:p>
    <w:p w14:paraId="1B6573F9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收料、开工、暂停、恢复、报工、送检和工时计算。</w:t>
      </w:r>
    </w:p>
    <w:p w14:paraId="0E1D1BA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采购/过程/终检、实测值保存、不合格处置及下游状态。</w:t>
      </w:r>
    </w:p>
    <w:p w14:paraId="630ADFF5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订单关闭、齐套、发货通知和销售订单全流程状态。</w:t>
      </w:r>
    </w:p>
    <w:p w14:paraId="4C7790AF">
      <w:pPr>
        <w:bidi w:val="0"/>
        <w:ind w:left="425" w:hanging="284"/>
        <w:rPr>
          <w:rFonts w:hint="eastAsia"/>
          <w:lang w:eastAsia="zh-CN"/>
        </w:rPr>
      </w:pPr>
      <w:r>
        <w:rPr>
          <w:rFonts w:hint="eastAsia"/>
          <w:lang w:eastAsia="zh-CN"/>
        </w:rPr>
        <w:t>SAP、TM、图纸附件、AGV和设备接口的成功与失败分支。</w:t>
      </w:r>
    </w:p>
    <w:p w14:paraId="58ED0265">
      <w:pPr>
        <w:pStyle w:val="3"/>
        <w:bidi w:val="0"/>
        <w:rPr>
          <w:rFonts w:hint="eastAsia"/>
          <w:lang w:eastAsia="zh-CN"/>
        </w:rPr>
      </w:pPr>
      <w:bookmarkStart w:id="87" w:name="_Toc19678"/>
      <w:r>
        <w:rPr>
          <w:rFonts w:hint="eastAsia"/>
          <w:lang w:eastAsia="zh-CN"/>
        </w:rPr>
        <w:t>17.3 上线验收门槛</w:t>
      </w:r>
      <w:bookmarkEnd w:id="87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570"/>
      </w:tblGrid>
      <w:tr w14:paraId="0A8BC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70" w:type="dxa"/>
            <w:shd w:val="clear" w:color="auto" w:fill="FFF2D9"/>
          </w:tcPr>
          <w:p w14:paraId="0655819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上线条件：P1/P2缺陷为0；核心链路通过；数据库脚本、回退和备份验证完成；权限矩阵通过目标角色验证；监控和应急联系人就绪；文档与变更记录已更新。</w:t>
            </w:r>
          </w:p>
        </w:tc>
      </w:tr>
    </w:tbl>
    <w:p w14:paraId="424D5797">
      <w:pPr>
        <w:bidi w:val="0"/>
        <w:rPr>
          <w:rFonts w:hint="default"/>
          <w:lang w:eastAsia="zh-CN"/>
        </w:rPr>
      </w:pPr>
    </w:p>
    <w:p w14:paraId="40F7322C">
      <w:pPr>
        <w:pStyle w:val="2"/>
        <w:bidi w:val="0"/>
        <w:rPr>
          <w:rFonts w:hint="eastAsia"/>
          <w:lang w:eastAsia="zh-CN"/>
        </w:rPr>
      </w:pPr>
      <w:bookmarkStart w:id="88" w:name="_Toc9571"/>
      <w:r>
        <w:rPr>
          <w:rFonts w:hint="eastAsia"/>
          <w:lang w:eastAsia="zh-CN"/>
        </w:rPr>
        <w:t>18 风险与技术债</w:t>
      </w:r>
      <w:bookmarkEnd w:id="88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3062"/>
        <w:gridCol w:w="2268"/>
        <w:gridCol w:w="3175"/>
      </w:tblGrid>
      <w:tr w14:paraId="47D0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1134" w:type="dxa"/>
            <w:vAlign w:val="center"/>
          </w:tcPr>
          <w:p w14:paraId="1BCF8117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优先级</w:t>
            </w:r>
          </w:p>
        </w:tc>
        <w:tc>
          <w:tcPr>
            <w:tcW w:w="3062" w:type="dxa"/>
            <w:vAlign w:val="center"/>
          </w:tcPr>
          <w:p w14:paraId="5C61EA2E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风险/技术债</w:t>
            </w:r>
          </w:p>
        </w:tc>
        <w:tc>
          <w:tcPr>
            <w:tcW w:w="2268" w:type="dxa"/>
            <w:vAlign w:val="center"/>
          </w:tcPr>
          <w:p w14:paraId="6A195202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影响</w:t>
            </w:r>
          </w:p>
        </w:tc>
        <w:tc>
          <w:tcPr>
            <w:tcW w:w="3175" w:type="dxa"/>
            <w:vAlign w:val="center"/>
          </w:tcPr>
          <w:p w14:paraId="0852D974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建议行动</w:t>
            </w:r>
          </w:p>
        </w:tc>
      </w:tr>
      <w:tr w14:paraId="51A42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17B04D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P0</w:t>
            </w:r>
          </w:p>
        </w:tc>
        <w:tc>
          <w:tcPr>
            <w:tcW w:w="3062" w:type="dxa"/>
            <w:vAlign w:val="center"/>
          </w:tcPr>
          <w:p w14:paraId="629C7EC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正式凭据与权限完全依赖前端将造成越权风险</w:t>
            </w:r>
          </w:p>
        </w:tc>
        <w:tc>
          <w:tcPr>
            <w:tcW w:w="2268" w:type="dxa"/>
            <w:vAlign w:val="center"/>
          </w:tcPr>
          <w:p w14:paraId="6AF7B8D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数据安全与审计</w:t>
            </w:r>
          </w:p>
        </w:tc>
        <w:tc>
          <w:tcPr>
            <w:tcW w:w="3175" w:type="dxa"/>
            <w:vAlign w:val="center"/>
          </w:tcPr>
          <w:p w14:paraId="6AD3EB6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确认服务端强制鉴权，开展权限穿透测试</w:t>
            </w:r>
          </w:p>
        </w:tc>
      </w:tr>
      <w:tr w14:paraId="09134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568B72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P1</w:t>
            </w:r>
          </w:p>
        </w:tc>
        <w:tc>
          <w:tcPr>
            <w:tcW w:w="3062" w:type="dxa"/>
            <w:vAlign w:val="center"/>
          </w:tcPr>
          <w:p w14:paraId="1790F86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数据库为 SIMPLE 恢复模式</w:t>
            </w:r>
          </w:p>
        </w:tc>
        <w:tc>
          <w:tcPr>
            <w:tcW w:w="2268" w:type="dxa"/>
            <w:vAlign w:val="center"/>
          </w:tcPr>
          <w:p w14:paraId="68B9013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无法时间点恢复</w:t>
            </w:r>
          </w:p>
        </w:tc>
        <w:tc>
          <w:tcPr>
            <w:tcW w:w="3175" w:type="dxa"/>
            <w:vAlign w:val="center"/>
          </w:tcPr>
          <w:p w14:paraId="346FD6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依据RPO/RTO决定是否切换FULL并建立日志备份</w:t>
            </w:r>
          </w:p>
        </w:tc>
      </w:tr>
      <w:tr w14:paraId="4DDC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0B5080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P1</w:t>
            </w:r>
          </w:p>
        </w:tc>
        <w:tc>
          <w:tcPr>
            <w:tcW w:w="3062" w:type="dxa"/>
            <w:vAlign w:val="center"/>
          </w:tcPr>
          <w:p w14:paraId="46FE92C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SQL Server 2019 RTM 未体现累计更新</w:t>
            </w:r>
          </w:p>
        </w:tc>
        <w:tc>
          <w:tcPr>
            <w:tcW w:w="2268" w:type="dxa"/>
            <w:vAlign w:val="center"/>
          </w:tcPr>
          <w:p w14:paraId="0C1F21A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稳定性与安全补丁</w:t>
            </w:r>
          </w:p>
        </w:tc>
        <w:tc>
          <w:tcPr>
            <w:tcW w:w="3175" w:type="dxa"/>
            <w:vAlign w:val="center"/>
          </w:tcPr>
          <w:p w14:paraId="33A4899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测试后升级到受支持CU</w:t>
            </w:r>
          </w:p>
        </w:tc>
      </w:tr>
      <w:tr w14:paraId="6ACE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A68423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P1</w:t>
            </w:r>
          </w:p>
        </w:tc>
        <w:tc>
          <w:tcPr>
            <w:tcW w:w="3062" w:type="dxa"/>
            <w:vAlign w:val="center"/>
          </w:tcPr>
          <w:p w14:paraId="12777FB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AGV接口使用HTTP且地址硬编码</w:t>
            </w:r>
          </w:p>
        </w:tc>
        <w:tc>
          <w:tcPr>
            <w:tcW w:w="2268" w:type="dxa"/>
            <w:vAlign w:val="center"/>
          </w:tcPr>
          <w:p w14:paraId="2E231A0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传输安全与环境切换</w:t>
            </w:r>
          </w:p>
        </w:tc>
        <w:tc>
          <w:tcPr>
            <w:tcW w:w="3175" w:type="dxa"/>
            <w:vAlign w:val="center"/>
          </w:tcPr>
          <w:p w14:paraId="6991BDC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服务端代理/HTTPS/配置化</w:t>
            </w:r>
          </w:p>
        </w:tc>
      </w:tr>
      <w:tr w14:paraId="647A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A8F16B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P1</w:t>
            </w:r>
          </w:p>
        </w:tc>
        <w:tc>
          <w:tcPr>
            <w:tcW w:w="3062" w:type="dxa"/>
            <w:vAlign w:val="center"/>
          </w:tcPr>
          <w:p w14:paraId="0B62F33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通用请求超时25分钟</w:t>
            </w:r>
          </w:p>
        </w:tc>
        <w:tc>
          <w:tcPr>
            <w:tcW w:w="2268" w:type="dxa"/>
            <w:vAlign w:val="center"/>
          </w:tcPr>
          <w:p w14:paraId="66F1896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资源占用与用户重复操作</w:t>
            </w:r>
          </w:p>
        </w:tc>
        <w:tc>
          <w:tcPr>
            <w:tcW w:w="3175" w:type="dxa"/>
            <w:vAlign w:val="center"/>
          </w:tcPr>
          <w:p w14:paraId="1B161B6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分类超时、取消、异步任务和幂等</w:t>
            </w:r>
          </w:p>
        </w:tc>
      </w:tr>
      <w:tr w14:paraId="37F75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86BC8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P2</w:t>
            </w:r>
          </w:p>
        </w:tc>
        <w:tc>
          <w:tcPr>
            <w:tcW w:w="3062" w:type="dxa"/>
            <w:vAlign w:val="center"/>
          </w:tcPr>
          <w:p w14:paraId="2BE6199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大型单文件页面和过程耦合度高</w:t>
            </w:r>
          </w:p>
        </w:tc>
        <w:tc>
          <w:tcPr>
            <w:tcW w:w="2268" w:type="dxa"/>
            <w:vAlign w:val="center"/>
          </w:tcPr>
          <w:p w14:paraId="5AD5B28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维护成本与回归风险</w:t>
            </w:r>
          </w:p>
        </w:tc>
        <w:tc>
          <w:tcPr>
            <w:tcW w:w="3175" w:type="dxa"/>
            <w:vAlign w:val="center"/>
          </w:tcPr>
          <w:p w14:paraId="0B52B41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按业务域拆分并建立契约测试</w:t>
            </w:r>
          </w:p>
        </w:tc>
      </w:tr>
      <w:tr w14:paraId="10B5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052DB9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P2</w:t>
            </w:r>
          </w:p>
        </w:tc>
        <w:tc>
          <w:tcPr>
            <w:tcW w:w="3062" w:type="dxa"/>
            <w:vAlign w:val="center"/>
          </w:tcPr>
          <w:p w14:paraId="75E4895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外键较少，关系主要靠过程维护</w:t>
            </w:r>
          </w:p>
        </w:tc>
        <w:tc>
          <w:tcPr>
            <w:tcW w:w="2268" w:type="dxa"/>
            <w:vAlign w:val="center"/>
          </w:tcPr>
          <w:p w14:paraId="4E4E6A4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孤儿数据和删除风险</w:t>
            </w:r>
          </w:p>
        </w:tc>
        <w:tc>
          <w:tcPr>
            <w:tcW w:w="3175" w:type="dxa"/>
            <w:vAlign w:val="center"/>
          </w:tcPr>
          <w:p w14:paraId="5ED4CDE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补充数据质量检查，逐步增加约束</w:t>
            </w:r>
          </w:p>
        </w:tc>
      </w:tr>
      <w:tr w14:paraId="668F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D99C5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P2</w:t>
            </w:r>
          </w:p>
        </w:tc>
        <w:tc>
          <w:tcPr>
            <w:tcW w:w="3062" w:type="dxa"/>
            <w:vAlign w:val="center"/>
          </w:tcPr>
          <w:p w14:paraId="148F7DD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源码存在编码异常</w:t>
            </w:r>
          </w:p>
        </w:tc>
        <w:tc>
          <w:tcPr>
            <w:tcW w:w="2268" w:type="dxa"/>
            <w:vAlign w:val="center"/>
          </w:tcPr>
          <w:p w14:paraId="362461E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可读性和误改风险</w:t>
            </w:r>
          </w:p>
        </w:tc>
        <w:tc>
          <w:tcPr>
            <w:tcW w:w="3175" w:type="dxa"/>
            <w:vAlign w:val="center"/>
          </w:tcPr>
          <w:p w14:paraId="3256066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统一UTF-8并加入检查</w:t>
            </w:r>
          </w:p>
        </w:tc>
      </w:tr>
    </w:tbl>
    <w:p w14:paraId="54BDD3C2">
      <w:pPr>
        <w:bidi w:val="0"/>
        <w:rPr>
          <w:rFonts w:hint="default"/>
          <w:lang w:eastAsia="zh-CN"/>
        </w:rPr>
      </w:pPr>
    </w:p>
    <w:p w14:paraId="3F75E92B">
      <w:pPr>
        <w:pStyle w:val="2"/>
        <w:bidi w:val="0"/>
        <w:rPr>
          <w:rFonts w:hint="eastAsia"/>
          <w:lang w:eastAsia="zh-CN"/>
        </w:rPr>
      </w:pPr>
      <w:bookmarkStart w:id="89" w:name="_Toc617"/>
      <w:r>
        <w:rPr>
          <w:rFonts w:hint="eastAsia"/>
          <w:lang w:eastAsia="zh-CN"/>
        </w:rPr>
        <w:t>19 附录A：正式功能页面清单</w:t>
      </w:r>
      <w:bookmarkEnd w:id="89"/>
    </w:p>
    <w:p w14:paraId="23B0E2EF">
      <w:pPr>
        <w:pStyle w:val="3"/>
        <w:bidi w:val="0"/>
        <w:rPr>
          <w:rFonts w:hint="eastAsia"/>
          <w:lang w:eastAsia="zh-CN"/>
        </w:rPr>
      </w:pPr>
      <w:bookmarkStart w:id="90" w:name="_Toc17352"/>
      <w:r>
        <w:rPr>
          <w:rFonts w:hint="eastAsia"/>
          <w:lang w:eastAsia="zh-CN"/>
        </w:rPr>
        <w:t>A.1 系统管理</w:t>
      </w:r>
      <w:bookmarkEnd w:id="90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2CFF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5C7283C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728FB5B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1B7A10C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4F53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5049B7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08B015F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人员管理</w:t>
            </w:r>
          </w:p>
        </w:tc>
        <w:tc>
          <w:tcPr>
            <w:tcW w:w="3402" w:type="dxa"/>
            <w:vAlign w:val="center"/>
          </w:tcPr>
          <w:p w14:paraId="5E67C69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</w:t>
            </w:r>
          </w:p>
        </w:tc>
      </w:tr>
      <w:tr w14:paraId="78499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5EA686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427171B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角色管理</w:t>
            </w:r>
          </w:p>
        </w:tc>
        <w:tc>
          <w:tcPr>
            <w:tcW w:w="3402" w:type="dxa"/>
            <w:vAlign w:val="center"/>
          </w:tcPr>
          <w:p w14:paraId="70D24BB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</w:t>
            </w:r>
          </w:p>
        </w:tc>
      </w:tr>
      <w:tr w14:paraId="643F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0B68A5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472DE73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菜单管理</w:t>
            </w:r>
          </w:p>
        </w:tc>
        <w:tc>
          <w:tcPr>
            <w:tcW w:w="3402" w:type="dxa"/>
            <w:vAlign w:val="center"/>
          </w:tcPr>
          <w:p w14:paraId="0AD6E2F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</w:t>
            </w:r>
          </w:p>
        </w:tc>
      </w:tr>
      <w:tr w14:paraId="36E1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86F063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70E916F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工位管理</w:t>
            </w:r>
          </w:p>
        </w:tc>
        <w:tc>
          <w:tcPr>
            <w:tcW w:w="3402" w:type="dxa"/>
            <w:vAlign w:val="center"/>
          </w:tcPr>
          <w:p w14:paraId="686D037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</w:t>
            </w:r>
          </w:p>
        </w:tc>
      </w:tr>
      <w:tr w14:paraId="1A98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6412AD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5103" w:type="dxa"/>
            <w:vAlign w:val="center"/>
          </w:tcPr>
          <w:p w14:paraId="455F5D6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报工操作记录</w:t>
            </w:r>
          </w:p>
        </w:tc>
        <w:tc>
          <w:tcPr>
            <w:tcW w:w="3402" w:type="dxa"/>
            <w:vAlign w:val="center"/>
          </w:tcPr>
          <w:p w14:paraId="17F035B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系统管理</w:t>
            </w:r>
          </w:p>
        </w:tc>
      </w:tr>
    </w:tbl>
    <w:p w14:paraId="1A6356EE">
      <w:pPr>
        <w:bidi w:val="0"/>
        <w:rPr>
          <w:rFonts w:hint="default"/>
          <w:lang w:eastAsia="zh-CN"/>
        </w:rPr>
      </w:pPr>
    </w:p>
    <w:p w14:paraId="2A97074A">
      <w:pPr>
        <w:pStyle w:val="3"/>
        <w:bidi w:val="0"/>
        <w:rPr>
          <w:rFonts w:hint="eastAsia"/>
          <w:lang w:eastAsia="zh-CN"/>
        </w:rPr>
      </w:pPr>
      <w:bookmarkStart w:id="91" w:name="_Toc4555"/>
      <w:r>
        <w:rPr>
          <w:rFonts w:hint="eastAsia"/>
          <w:lang w:eastAsia="zh-CN"/>
        </w:rPr>
        <w:t>A.2 设备管理</w:t>
      </w:r>
      <w:bookmarkEnd w:id="9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625E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78DF59E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14A61465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6336BE33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53167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C48FE6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2E279D27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设备信息维护</w:t>
            </w:r>
          </w:p>
        </w:tc>
        <w:tc>
          <w:tcPr>
            <w:tcW w:w="3402" w:type="dxa"/>
            <w:vAlign w:val="center"/>
          </w:tcPr>
          <w:p w14:paraId="24A012A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设备管理</w:t>
            </w:r>
          </w:p>
        </w:tc>
      </w:tr>
      <w:tr w14:paraId="6B9C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924F12A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3154F69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设备数据</w:t>
            </w:r>
          </w:p>
        </w:tc>
        <w:tc>
          <w:tcPr>
            <w:tcW w:w="3402" w:type="dxa"/>
            <w:vAlign w:val="center"/>
          </w:tcPr>
          <w:p w14:paraId="3E7E853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设备管理</w:t>
            </w:r>
          </w:p>
        </w:tc>
      </w:tr>
      <w:tr w14:paraId="4751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83F0D8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70B360F2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设备历史数据</w:t>
            </w:r>
          </w:p>
        </w:tc>
        <w:tc>
          <w:tcPr>
            <w:tcW w:w="3402" w:type="dxa"/>
            <w:vAlign w:val="center"/>
          </w:tcPr>
          <w:p w14:paraId="3473B33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设备管理</w:t>
            </w:r>
          </w:p>
        </w:tc>
      </w:tr>
      <w:tr w14:paraId="0E5F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E7C03D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5BD535D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实时数据</w:t>
            </w:r>
          </w:p>
        </w:tc>
        <w:tc>
          <w:tcPr>
            <w:tcW w:w="3402" w:type="dxa"/>
            <w:vAlign w:val="center"/>
          </w:tcPr>
          <w:p w14:paraId="15223C2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设备管理</w:t>
            </w:r>
          </w:p>
        </w:tc>
      </w:tr>
    </w:tbl>
    <w:p w14:paraId="2FA66A02">
      <w:pPr>
        <w:bidi w:val="0"/>
        <w:rPr>
          <w:rFonts w:hint="default"/>
          <w:lang w:eastAsia="zh-CN"/>
        </w:rPr>
      </w:pPr>
    </w:p>
    <w:p w14:paraId="7B2027BC">
      <w:pPr>
        <w:pStyle w:val="3"/>
        <w:bidi w:val="0"/>
        <w:rPr>
          <w:rFonts w:hint="eastAsia"/>
          <w:lang w:eastAsia="zh-CN"/>
        </w:rPr>
      </w:pPr>
      <w:bookmarkStart w:id="92" w:name="_Toc24338"/>
      <w:r>
        <w:rPr>
          <w:rFonts w:hint="eastAsia"/>
          <w:lang w:eastAsia="zh-CN"/>
        </w:rPr>
        <w:t>A.3 研发管理</w:t>
      </w:r>
      <w:bookmarkEnd w:id="92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68A6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4600B08F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659A083B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07B75D96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7204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180D58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6036F1F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设计任务</w:t>
            </w:r>
          </w:p>
        </w:tc>
        <w:tc>
          <w:tcPr>
            <w:tcW w:w="3402" w:type="dxa"/>
            <w:vAlign w:val="center"/>
          </w:tcPr>
          <w:p w14:paraId="48ADBC7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研发管理</w:t>
            </w:r>
          </w:p>
        </w:tc>
      </w:tr>
      <w:tr w14:paraId="4A4D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0E1BE9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4AC17485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设计报工</w:t>
            </w:r>
          </w:p>
        </w:tc>
        <w:tc>
          <w:tcPr>
            <w:tcW w:w="3402" w:type="dxa"/>
            <w:vAlign w:val="center"/>
          </w:tcPr>
          <w:p w14:paraId="400FBC4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研发管理</w:t>
            </w:r>
          </w:p>
        </w:tc>
      </w:tr>
      <w:tr w14:paraId="452E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4FC9C6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1F9E487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设计工时校验</w:t>
            </w:r>
          </w:p>
        </w:tc>
        <w:tc>
          <w:tcPr>
            <w:tcW w:w="3402" w:type="dxa"/>
            <w:vAlign w:val="center"/>
          </w:tcPr>
          <w:p w14:paraId="114A1DBF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研发管理</w:t>
            </w:r>
          </w:p>
        </w:tc>
      </w:tr>
      <w:tr w14:paraId="04154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60BA4A8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409ACEF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设计工时报表</w:t>
            </w:r>
          </w:p>
        </w:tc>
        <w:tc>
          <w:tcPr>
            <w:tcW w:w="3402" w:type="dxa"/>
            <w:vAlign w:val="center"/>
          </w:tcPr>
          <w:p w14:paraId="1F9011A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研发管理</w:t>
            </w:r>
          </w:p>
        </w:tc>
      </w:tr>
      <w:tr w14:paraId="32F67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C1659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5103" w:type="dxa"/>
            <w:vAlign w:val="center"/>
          </w:tcPr>
          <w:p w14:paraId="719341C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研发财务工时</w:t>
            </w:r>
          </w:p>
        </w:tc>
        <w:tc>
          <w:tcPr>
            <w:tcW w:w="3402" w:type="dxa"/>
            <w:vAlign w:val="center"/>
          </w:tcPr>
          <w:p w14:paraId="280FE7C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研发管理</w:t>
            </w:r>
          </w:p>
        </w:tc>
      </w:tr>
    </w:tbl>
    <w:p w14:paraId="2CE55460">
      <w:pPr>
        <w:bidi w:val="0"/>
        <w:rPr>
          <w:rFonts w:hint="default"/>
          <w:lang w:eastAsia="zh-CN"/>
        </w:rPr>
      </w:pPr>
    </w:p>
    <w:p w14:paraId="68360AA4">
      <w:pPr>
        <w:pStyle w:val="3"/>
        <w:bidi w:val="0"/>
        <w:rPr>
          <w:rFonts w:hint="eastAsia"/>
          <w:lang w:eastAsia="zh-CN"/>
        </w:rPr>
      </w:pPr>
      <w:bookmarkStart w:id="93" w:name="_Toc18490"/>
      <w:r>
        <w:rPr>
          <w:rFonts w:hint="eastAsia"/>
          <w:lang w:eastAsia="zh-CN"/>
        </w:rPr>
        <w:t>A.4 工艺管理</w:t>
      </w:r>
      <w:bookmarkEnd w:id="93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5D09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6D8674A4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16A8EEDF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04ADFD1C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19FA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4CC5EE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4619E0B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工序管理</w:t>
            </w:r>
          </w:p>
        </w:tc>
        <w:tc>
          <w:tcPr>
            <w:tcW w:w="3402" w:type="dxa"/>
            <w:vAlign w:val="center"/>
          </w:tcPr>
          <w:p w14:paraId="445870D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5D4D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B79B88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16B59C0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制定标准工艺</w:t>
            </w:r>
          </w:p>
        </w:tc>
        <w:tc>
          <w:tcPr>
            <w:tcW w:w="3402" w:type="dxa"/>
            <w:vAlign w:val="center"/>
          </w:tcPr>
          <w:p w14:paraId="23812C3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1053E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C4F8F5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32A2AE5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生产工艺</w:t>
            </w:r>
          </w:p>
        </w:tc>
        <w:tc>
          <w:tcPr>
            <w:tcW w:w="3402" w:type="dxa"/>
            <w:vAlign w:val="center"/>
          </w:tcPr>
          <w:p w14:paraId="53F16DC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58E5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06F781B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286A2F0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工艺查询</w:t>
            </w:r>
          </w:p>
        </w:tc>
        <w:tc>
          <w:tcPr>
            <w:tcW w:w="3402" w:type="dxa"/>
            <w:vAlign w:val="center"/>
          </w:tcPr>
          <w:p w14:paraId="649DFDB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229A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28ECF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5103" w:type="dxa"/>
            <w:vAlign w:val="center"/>
          </w:tcPr>
          <w:p w14:paraId="66EF9EB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工艺任务</w:t>
            </w:r>
          </w:p>
        </w:tc>
        <w:tc>
          <w:tcPr>
            <w:tcW w:w="3402" w:type="dxa"/>
            <w:vAlign w:val="center"/>
          </w:tcPr>
          <w:p w14:paraId="2BFEA68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322B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82550C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5103" w:type="dxa"/>
            <w:vAlign w:val="center"/>
          </w:tcPr>
          <w:p w14:paraId="2229761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图纸维护</w:t>
            </w:r>
          </w:p>
        </w:tc>
        <w:tc>
          <w:tcPr>
            <w:tcW w:w="3402" w:type="dxa"/>
            <w:vAlign w:val="center"/>
          </w:tcPr>
          <w:p w14:paraId="347AC7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26C51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0E1A8D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5103" w:type="dxa"/>
            <w:vAlign w:val="center"/>
          </w:tcPr>
          <w:p w14:paraId="3E2FF5A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工艺维护</w:t>
            </w:r>
          </w:p>
        </w:tc>
        <w:tc>
          <w:tcPr>
            <w:tcW w:w="3402" w:type="dxa"/>
            <w:vAlign w:val="center"/>
          </w:tcPr>
          <w:p w14:paraId="625B482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5F8CC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028CBA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5103" w:type="dxa"/>
            <w:vAlign w:val="center"/>
          </w:tcPr>
          <w:p w14:paraId="420BB13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查看图纸</w:t>
            </w:r>
          </w:p>
        </w:tc>
        <w:tc>
          <w:tcPr>
            <w:tcW w:w="3402" w:type="dxa"/>
            <w:vAlign w:val="center"/>
          </w:tcPr>
          <w:p w14:paraId="1D40DBA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  <w:tr w14:paraId="2BB5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082D07B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5103" w:type="dxa"/>
            <w:vAlign w:val="center"/>
          </w:tcPr>
          <w:p w14:paraId="69607A1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采购图纸查询</w:t>
            </w:r>
          </w:p>
        </w:tc>
        <w:tc>
          <w:tcPr>
            <w:tcW w:w="3402" w:type="dxa"/>
            <w:vAlign w:val="center"/>
          </w:tcPr>
          <w:p w14:paraId="3902C7B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工艺管理</w:t>
            </w:r>
          </w:p>
        </w:tc>
      </w:tr>
    </w:tbl>
    <w:p w14:paraId="35A23EB1">
      <w:pPr>
        <w:bidi w:val="0"/>
        <w:rPr>
          <w:rFonts w:hint="default"/>
          <w:lang w:eastAsia="zh-CN"/>
        </w:rPr>
      </w:pPr>
    </w:p>
    <w:p w14:paraId="280DFF78">
      <w:pPr>
        <w:pStyle w:val="3"/>
        <w:bidi w:val="0"/>
        <w:rPr>
          <w:rFonts w:hint="eastAsia"/>
          <w:lang w:eastAsia="zh-CN"/>
        </w:rPr>
      </w:pPr>
      <w:bookmarkStart w:id="94" w:name="_Toc29948"/>
      <w:r>
        <w:rPr>
          <w:rFonts w:hint="eastAsia"/>
          <w:lang w:eastAsia="zh-CN"/>
        </w:rPr>
        <w:t>A.5 计划排产</w:t>
      </w:r>
      <w:bookmarkEnd w:id="94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43A8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4C98883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1130F145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4CB4109F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511F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5360D1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05F022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机加件排产</w:t>
            </w:r>
          </w:p>
        </w:tc>
        <w:tc>
          <w:tcPr>
            <w:tcW w:w="3402" w:type="dxa"/>
            <w:vAlign w:val="center"/>
          </w:tcPr>
          <w:p w14:paraId="10201C4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659A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F4B13A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2F73C45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装配件排产</w:t>
            </w:r>
          </w:p>
        </w:tc>
        <w:tc>
          <w:tcPr>
            <w:tcW w:w="3402" w:type="dxa"/>
            <w:vAlign w:val="center"/>
          </w:tcPr>
          <w:p w14:paraId="5313928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0F5EF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341541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042FC86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机加件已排产</w:t>
            </w:r>
          </w:p>
        </w:tc>
        <w:tc>
          <w:tcPr>
            <w:tcW w:w="3402" w:type="dxa"/>
            <w:vAlign w:val="center"/>
          </w:tcPr>
          <w:p w14:paraId="3D570E8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7E46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42CE86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2FF59B1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机加件未排产</w:t>
            </w:r>
          </w:p>
        </w:tc>
        <w:tc>
          <w:tcPr>
            <w:tcW w:w="3402" w:type="dxa"/>
            <w:vAlign w:val="center"/>
          </w:tcPr>
          <w:p w14:paraId="0BDB764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70D5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8E80B3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5103" w:type="dxa"/>
            <w:vAlign w:val="center"/>
          </w:tcPr>
          <w:p w14:paraId="2184BA7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优先装配</w:t>
            </w:r>
          </w:p>
        </w:tc>
        <w:tc>
          <w:tcPr>
            <w:tcW w:w="3402" w:type="dxa"/>
            <w:vAlign w:val="center"/>
          </w:tcPr>
          <w:p w14:paraId="3860A6B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7B486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366A84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5103" w:type="dxa"/>
            <w:vAlign w:val="center"/>
          </w:tcPr>
          <w:p w14:paraId="518A7A1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计划用表</w:t>
            </w:r>
          </w:p>
        </w:tc>
        <w:tc>
          <w:tcPr>
            <w:tcW w:w="3402" w:type="dxa"/>
            <w:vAlign w:val="center"/>
          </w:tcPr>
          <w:p w14:paraId="0B233A8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559B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B6ABC8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5103" w:type="dxa"/>
            <w:vAlign w:val="center"/>
          </w:tcPr>
          <w:p w14:paraId="1F28DE6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装配未排产</w:t>
            </w:r>
          </w:p>
        </w:tc>
        <w:tc>
          <w:tcPr>
            <w:tcW w:w="3402" w:type="dxa"/>
            <w:vAlign w:val="center"/>
          </w:tcPr>
          <w:p w14:paraId="18ECFD0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6328B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55594B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5103" w:type="dxa"/>
            <w:vAlign w:val="center"/>
          </w:tcPr>
          <w:p w14:paraId="39A742D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生产订单关闭</w:t>
            </w:r>
          </w:p>
        </w:tc>
        <w:tc>
          <w:tcPr>
            <w:tcW w:w="3402" w:type="dxa"/>
            <w:vAlign w:val="center"/>
          </w:tcPr>
          <w:p w14:paraId="0DEF67C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12EB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AC331E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5103" w:type="dxa"/>
            <w:vAlign w:val="center"/>
          </w:tcPr>
          <w:p w14:paraId="53B90C9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工位任务汇总</w:t>
            </w:r>
          </w:p>
        </w:tc>
        <w:tc>
          <w:tcPr>
            <w:tcW w:w="3402" w:type="dxa"/>
            <w:vAlign w:val="center"/>
          </w:tcPr>
          <w:p w14:paraId="500B608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2018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0540E8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10</w:t>
            </w:r>
          </w:p>
        </w:tc>
        <w:tc>
          <w:tcPr>
            <w:tcW w:w="5103" w:type="dxa"/>
            <w:vAlign w:val="center"/>
          </w:tcPr>
          <w:p w14:paraId="72661C9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装配已排产</w:t>
            </w:r>
          </w:p>
        </w:tc>
        <w:tc>
          <w:tcPr>
            <w:tcW w:w="3402" w:type="dxa"/>
            <w:vAlign w:val="center"/>
          </w:tcPr>
          <w:p w14:paraId="723993B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0930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6C3039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11</w:t>
            </w:r>
          </w:p>
        </w:tc>
        <w:tc>
          <w:tcPr>
            <w:tcW w:w="5103" w:type="dxa"/>
            <w:vAlign w:val="center"/>
          </w:tcPr>
          <w:p w14:paraId="09FD95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系统类装配任务</w:t>
            </w:r>
          </w:p>
        </w:tc>
        <w:tc>
          <w:tcPr>
            <w:tcW w:w="3402" w:type="dxa"/>
            <w:vAlign w:val="center"/>
          </w:tcPr>
          <w:p w14:paraId="5D2745C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1AA6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3C4171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12</w:t>
            </w:r>
          </w:p>
        </w:tc>
        <w:tc>
          <w:tcPr>
            <w:tcW w:w="5103" w:type="dxa"/>
            <w:vAlign w:val="center"/>
          </w:tcPr>
          <w:p w14:paraId="53EA3EA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阀类装配任务</w:t>
            </w:r>
          </w:p>
        </w:tc>
        <w:tc>
          <w:tcPr>
            <w:tcW w:w="3402" w:type="dxa"/>
            <w:vAlign w:val="center"/>
          </w:tcPr>
          <w:p w14:paraId="2CDFB89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  <w:tr w14:paraId="0BF5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C4BE01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5103" w:type="dxa"/>
            <w:vAlign w:val="center"/>
          </w:tcPr>
          <w:p w14:paraId="48BAA60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及时齐套跟踪结果</w:t>
            </w:r>
          </w:p>
        </w:tc>
        <w:tc>
          <w:tcPr>
            <w:tcW w:w="3402" w:type="dxa"/>
            <w:vAlign w:val="center"/>
          </w:tcPr>
          <w:p w14:paraId="7A31AA2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计划排产</w:t>
            </w:r>
          </w:p>
        </w:tc>
      </w:tr>
    </w:tbl>
    <w:p w14:paraId="641CFF86">
      <w:pPr>
        <w:bidi w:val="0"/>
        <w:rPr>
          <w:rFonts w:hint="default"/>
          <w:lang w:eastAsia="zh-CN"/>
        </w:rPr>
      </w:pPr>
    </w:p>
    <w:p w14:paraId="67E928BC">
      <w:pPr>
        <w:pStyle w:val="3"/>
        <w:bidi w:val="0"/>
        <w:rPr>
          <w:rFonts w:hint="eastAsia"/>
          <w:lang w:eastAsia="zh-CN"/>
        </w:rPr>
      </w:pPr>
      <w:bookmarkStart w:id="95" w:name="_Toc25723"/>
      <w:r>
        <w:rPr>
          <w:rFonts w:hint="eastAsia"/>
          <w:lang w:eastAsia="zh-CN"/>
        </w:rPr>
        <w:t>A.6 生产管理</w:t>
      </w:r>
      <w:bookmarkEnd w:id="95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60E5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2C8C04EA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56E71558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318CE08C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16C2D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E2922A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1AA6AC8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生产计划跟踪</w:t>
            </w:r>
          </w:p>
        </w:tc>
        <w:tc>
          <w:tcPr>
            <w:tcW w:w="3402" w:type="dxa"/>
            <w:vAlign w:val="center"/>
          </w:tcPr>
          <w:p w14:paraId="7AD1CB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0B1E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2B4D61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4ACF37D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加工中心</w:t>
            </w:r>
          </w:p>
        </w:tc>
        <w:tc>
          <w:tcPr>
            <w:tcW w:w="3402" w:type="dxa"/>
            <w:vAlign w:val="center"/>
          </w:tcPr>
          <w:p w14:paraId="5B58E53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190C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E05381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416386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过程异常管控</w:t>
            </w:r>
          </w:p>
        </w:tc>
        <w:tc>
          <w:tcPr>
            <w:tcW w:w="3402" w:type="dxa"/>
            <w:vAlign w:val="center"/>
          </w:tcPr>
          <w:p w14:paraId="71DCAF4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7978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325AB3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4B96616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工时校验</w:t>
            </w:r>
          </w:p>
        </w:tc>
        <w:tc>
          <w:tcPr>
            <w:tcW w:w="3402" w:type="dxa"/>
            <w:vAlign w:val="center"/>
          </w:tcPr>
          <w:p w14:paraId="16F6E6E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6907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0D8917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5103" w:type="dxa"/>
            <w:vAlign w:val="center"/>
          </w:tcPr>
          <w:p w14:paraId="38497E3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外协管理</w:t>
            </w:r>
          </w:p>
        </w:tc>
        <w:tc>
          <w:tcPr>
            <w:tcW w:w="3402" w:type="dxa"/>
            <w:vAlign w:val="center"/>
          </w:tcPr>
          <w:p w14:paraId="75DA4CB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52FFA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D5629C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5103" w:type="dxa"/>
            <w:vAlign w:val="center"/>
          </w:tcPr>
          <w:p w14:paraId="0D73709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人员绑定</w:t>
            </w:r>
          </w:p>
        </w:tc>
        <w:tc>
          <w:tcPr>
            <w:tcW w:w="3402" w:type="dxa"/>
            <w:vAlign w:val="center"/>
          </w:tcPr>
          <w:p w14:paraId="161D16B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72AC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E8C29B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5103" w:type="dxa"/>
            <w:vAlign w:val="center"/>
          </w:tcPr>
          <w:p w14:paraId="025AC76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装配中心</w:t>
            </w:r>
          </w:p>
        </w:tc>
        <w:tc>
          <w:tcPr>
            <w:tcW w:w="3402" w:type="dxa"/>
            <w:vAlign w:val="center"/>
          </w:tcPr>
          <w:p w14:paraId="694AACB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19B6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03871C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5103" w:type="dxa"/>
            <w:vAlign w:val="center"/>
          </w:tcPr>
          <w:p w14:paraId="327EFC3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班次管理</w:t>
            </w:r>
          </w:p>
        </w:tc>
        <w:tc>
          <w:tcPr>
            <w:tcW w:w="3402" w:type="dxa"/>
            <w:vAlign w:val="center"/>
          </w:tcPr>
          <w:p w14:paraId="7770ED8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1289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03D1392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5103" w:type="dxa"/>
            <w:vAlign w:val="center"/>
          </w:tcPr>
          <w:p w14:paraId="3680116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工时报表</w:t>
            </w:r>
          </w:p>
        </w:tc>
        <w:tc>
          <w:tcPr>
            <w:tcW w:w="3402" w:type="dxa"/>
            <w:vAlign w:val="center"/>
          </w:tcPr>
          <w:p w14:paraId="5D010C7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3D6B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B0E059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10</w:t>
            </w:r>
          </w:p>
        </w:tc>
        <w:tc>
          <w:tcPr>
            <w:tcW w:w="5103" w:type="dxa"/>
            <w:vAlign w:val="center"/>
          </w:tcPr>
          <w:p w14:paraId="18198FF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加急件管理</w:t>
            </w:r>
          </w:p>
        </w:tc>
        <w:tc>
          <w:tcPr>
            <w:tcW w:w="3402" w:type="dxa"/>
            <w:vAlign w:val="center"/>
          </w:tcPr>
          <w:p w14:paraId="22653F8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4753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0E2481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11</w:t>
            </w:r>
          </w:p>
        </w:tc>
        <w:tc>
          <w:tcPr>
            <w:tcW w:w="5103" w:type="dxa"/>
            <w:vAlign w:val="center"/>
          </w:tcPr>
          <w:p w14:paraId="5711798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拣配任务</w:t>
            </w:r>
          </w:p>
        </w:tc>
        <w:tc>
          <w:tcPr>
            <w:tcW w:w="3402" w:type="dxa"/>
            <w:vAlign w:val="center"/>
          </w:tcPr>
          <w:p w14:paraId="5D85135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72B4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5FB94A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12</w:t>
            </w:r>
          </w:p>
        </w:tc>
        <w:tc>
          <w:tcPr>
            <w:tcW w:w="5103" w:type="dxa"/>
            <w:vAlign w:val="center"/>
          </w:tcPr>
          <w:p w14:paraId="1E5069A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采购外协管理</w:t>
            </w:r>
          </w:p>
        </w:tc>
        <w:tc>
          <w:tcPr>
            <w:tcW w:w="3402" w:type="dxa"/>
            <w:vAlign w:val="center"/>
          </w:tcPr>
          <w:p w14:paraId="1CB1B78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51AE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5E895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5103" w:type="dxa"/>
            <w:vAlign w:val="center"/>
          </w:tcPr>
          <w:p w14:paraId="4365927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工时查询</w:t>
            </w:r>
          </w:p>
        </w:tc>
        <w:tc>
          <w:tcPr>
            <w:tcW w:w="3402" w:type="dxa"/>
            <w:vAlign w:val="center"/>
          </w:tcPr>
          <w:p w14:paraId="4F344C0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34CE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4539D8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14</w:t>
            </w:r>
          </w:p>
        </w:tc>
        <w:tc>
          <w:tcPr>
            <w:tcW w:w="5103" w:type="dxa"/>
            <w:vAlign w:val="center"/>
          </w:tcPr>
          <w:p w14:paraId="6DA6CD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机加正在进行中</w:t>
            </w:r>
          </w:p>
        </w:tc>
        <w:tc>
          <w:tcPr>
            <w:tcW w:w="3402" w:type="dxa"/>
            <w:vAlign w:val="center"/>
          </w:tcPr>
          <w:p w14:paraId="115C2BF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7E62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65BB17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15</w:t>
            </w:r>
          </w:p>
        </w:tc>
        <w:tc>
          <w:tcPr>
            <w:tcW w:w="5103" w:type="dxa"/>
            <w:vAlign w:val="center"/>
          </w:tcPr>
          <w:p w14:paraId="18859FE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装配状态</w:t>
            </w:r>
          </w:p>
        </w:tc>
        <w:tc>
          <w:tcPr>
            <w:tcW w:w="3402" w:type="dxa"/>
            <w:vAlign w:val="center"/>
          </w:tcPr>
          <w:p w14:paraId="2EB8CF9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2EAFC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A9CE74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16</w:t>
            </w:r>
          </w:p>
        </w:tc>
        <w:tc>
          <w:tcPr>
            <w:tcW w:w="5103" w:type="dxa"/>
            <w:vAlign w:val="center"/>
          </w:tcPr>
          <w:p w14:paraId="2C47ECC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外协报表</w:t>
            </w:r>
          </w:p>
        </w:tc>
        <w:tc>
          <w:tcPr>
            <w:tcW w:w="3402" w:type="dxa"/>
            <w:vAlign w:val="center"/>
          </w:tcPr>
          <w:p w14:paraId="435E77E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33B0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8BCFD7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17</w:t>
            </w:r>
          </w:p>
        </w:tc>
        <w:tc>
          <w:tcPr>
            <w:tcW w:w="5103" w:type="dxa"/>
            <w:vAlign w:val="center"/>
          </w:tcPr>
          <w:p w14:paraId="17C0084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工时修正</w:t>
            </w:r>
          </w:p>
        </w:tc>
        <w:tc>
          <w:tcPr>
            <w:tcW w:w="3402" w:type="dxa"/>
            <w:vAlign w:val="center"/>
          </w:tcPr>
          <w:p w14:paraId="2A11D1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35BA9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3EA9E56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18</w:t>
            </w:r>
          </w:p>
        </w:tc>
        <w:tc>
          <w:tcPr>
            <w:tcW w:w="5103" w:type="dxa"/>
            <w:vAlign w:val="center"/>
          </w:tcPr>
          <w:p w14:paraId="01A9245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物料机器人</w:t>
            </w:r>
          </w:p>
        </w:tc>
        <w:tc>
          <w:tcPr>
            <w:tcW w:w="3402" w:type="dxa"/>
            <w:vAlign w:val="center"/>
          </w:tcPr>
          <w:p w14:paraId="0D6EC94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3D75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779184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19</w:t>
            </w:r>
          </w:p>
        </w:tc>
        <w:tc>
          <w:tcPr>
            <w:tcW w:w="5103" w:type="dxa"/>
            <w:vAlign w:val="center"/>
          </w:tcPr>
          <w:p w14:paraId="0C0175B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手续确认报表</w:t>
            </w:r>
          </w:p>
        </w:tc>
        <w:tc>
          <w:tcPr>
            <w:tcW w:w="3402" w:type="dxa"/>
            <w:vAlign w:val="center"/>
          </w:tcPr>
          <w:p w14:paraId="0389525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18F20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C55058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20</w:t>
            </w:r>
          </w:p>
        </w:tc>
        <w:tc>
          <w:tcPr>
            <w:tcW w:w="5103" w:type="dxa"/>
            <w:vAlign w:val="center"/>
          </w:tcPr>
          <w:p w14:paraId="1E0BF19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发货通知列表</w:t>
            </w:r>
          </w:p>
        </w:tc>
        <w:tc>
          <w:tcPr>
            <w:tcW w:w="3402" w:type="dxa"/>
            <w:vAlign w:val="center"/>
          </w:tcPr>
          <w:p w14:paraId="31D9495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  <w:tr w14:paraId="3D973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A28E84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21</w:t>
            </w:r>
          </w:p>
        </w:tc>
        <w:tc>
          <w:tcPr>
            <w:tcW w:w="5103" w:type="dxa"/>
            <w:vAlign w:val="center"/>
          </w:tcPr>
          <w:p w14:paraId="30481F3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结算工时</w:t>
            </w:r>
          </w:p>
        </w:tc>
        <w:tc>
          <w:tcPr>
            <w:tcW w:w="3402" w:type="dxa"/>
            <w:vAlign w:val="center"/>
          </w:tcPr>
          <w:p w14:paraId="7470F8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生产管理</w:t>
            </w:r>
          </w:p>
        </w:tc>
      </w:tr>
    </w:tbl>
    <w:p w14:paraId="13A1C67B">
      <w:pPr>
        <w:bidi w:val="0"/>
        <w:rPr>
          <w:rFonts w:hint="default"/>
          <w:lang w:eastAsia="zh-CN"/>
        </w:rPr>
      </w:pPr>
    </w:p>
    <w:p w14:paraId="1F452DD7">
      <w:pPr>
        <w:pStyle w:val="3"/>
        <w:bidi w:val="0"/>
        <w:rPr>
          <w:rFonts w:hint="eastAsia"/>
          <w:lang w:eastAsia="zh-CN"/>
        </w:rPr>
      </w:pPr>
      <w:bookmarkStart w:id="96" w:name="_Toc26972"/>
      <w:r>
        <w:rPr>
          <w:rFonts w:hint="eastAsia"/>
          <w:lang w:eastAsia="zh-CN"/>
        </w:rPr>
        <w:t>A.7 异常提醒</w:t>
      </w:r>
      <w:bookmarkEnd w:id="96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1FA7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75D2304A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12ACB0E2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07966A73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3A7B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AC41D10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69EED92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机加及时开工</w:t>
            </w:r>
          </w:p>
        </w:tc>
        <w:tc>
          <w:tcPr>
            <w:tcW w:w="3402" w:type="dxa"/>
            <w:vAlign w:val="center"/>
          </w:tcPr>
          <w:p w14:paraId="244DC924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异常提醒</w:t>
            </w:r>
          </w:p>
        </w:tc>
      </w:tr>
      <w:tr w14:paraId="2C87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83709A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0C9EDEA1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外协及时开工</w:t>
            </w:r>
          </w:p>
        </w:tc>
        <w:tc>
          <w:tcPr>
            <w:tcW w:w="3402" w:type="dxa"/>
            <w:vAlign w:val="center"/>
          </w:tcPr>
          <w:p w14:paraId="2D974F69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异常提醒</w:t>
            </w:r>
          </w:p>
        </w:tc>
      </w:tr>
      <w:tr w14:paraId="5F7B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5829B66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7022E7FD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加急任务列表</w:t>
            </w:r>
          </w:p>
        </w:tc>
        <w:tc>
          <w:tcPr>
            <w:tcW w:w="3402" w:type="dxa"/>
            <w:vAlign w:val="center"/>
          </w:tcPr>
          <w:p w14:paraId="70805ADE">
            <w:pPr>
              <w:keepNext/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异常提醒</w:t>
            </w:r>
          </w:p>
        </w:tc>
      </w:tr>
      <w:tr w14:paraId="2611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FCF486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039EE3B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装配及时送检</w:t>
            </w:r>
          </w:p>
        </w:tc>
        <w:tc>
          <w:tcPr>
            <w:tcW w:w="3402" w:type="dxa"/>
            <w:vAlign w:val="center"/>
          </w:tcPr>
          <w:p w14:paraId="4E3A41D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异常提醒</w:t>
            </w:r>
          </w:p>
        </w:tc>
      </w:tr>
    </w:tbl>
    <w:p w14:paraId="4C84C076">
      <w:pPr>
        <w:bidi w:val="0"/>
        <w:rPr>
          <w:rFonts w:hint="default"/>
          <w:lang w:eastAsia="zh-CN"/>
        </w:rPr>
      </w:pPr>
    </w:p>
    <w:p w14:paraId="3BB12DAA">
      <w:pPr>
        <w:pStyle w:val="3"/>
        <w:bidi w:val="0"/>
        <w:rPr>
          <w:rFonts w:hint="eastAsia"/>
          <w:lang w:eastAsia="zh-CN"/>
        </w:rPr>
      </w:pPr>
      <w:bookmarkStart w:id="97" w:name="_Toc649"/>
      <w:r>
        <w:rPr>
          <w:rFonts w:hint="eastAsia"/>
          <w:lang w:eastAsia="zh-CN"/>
        </w:rPr>
        <w:t>A.8 质量管理</w:t>
      </w:r>
      <w:bookmarkEnd w:id="97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26DC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245E66C6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76E107B5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5F307A7E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77EF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18F4152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5025CD7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终检</w:t>
            </w:r>
          </w:p>
        </w:tc>
        <w:tc>
          <w:tcPr>
            <w:tcW w:w="3402" w:type="dxa"/>
            <w:vAlign w:val="center"/>
          </w:tcPr>
          <w:p w14:paraId="09A6F5E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6484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0089EBC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5103" w:type="dxa"/>
            <w:vAlign w:val="center"/>
          </w:tcPr>
          <w:p w14:paraId="4838E5E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采购入库检</w:t>
            </w:r>
          </w:p>
        </w:tc>
        <w:tc>
          <w:tcPr>
            <w:tcW w:w="3402" w:type="dxa"/>
            <w:vAlign w:val="center"/>
          </w:tcPr>
          <w:p w14:paraId="44C6A21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034C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5A87CE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5103" w:type="dxa"/>
            <w:vAlign w:val="center"/>
          </w:tcPr>
          <w:p w14:paraId="5956FDF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销售退货检</w:t>
            </w:r>
          </w:p>
        </w:tc>
        <w:tc>
          <w:tcPr>
            <w:tcW w:w="3402" w:type="dxa"/>
            <w:vAlign w:val="center"/>
          </w:tcPr>
          <w:p w14:paraId="3C76099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16C5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216120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5103" w:type="dxa"/>
            <w:vAlign w:val="center"/>
          </w:tcPr>
          <w:p w14:paraId="322CB99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原材料退库检</w:t>
            </w:r>
          </w:p>
        </w:tc>
        <w:tc>
          <w:tcPr>
            <w:tcW w:w="3402" w:type="dxa"/>
            <w:vAlign w:val="center"/>
          </w:tcPr>
          <w:p w14:paraId="020AA36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20193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4B6412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5103" w:type="dxa"/>
            <w:vAlign w:val="center"/>
          </w:tcPr>
          <w:p w14:paraId="7C2299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序检收检</w:t>
            </w:r>
          </w:p>
        </w:tc>
        <w:tc>
          <w:tcPr>
            <w:tcW w:w="3402" w:type="dxa"/>
            <w:vAlign w:val="center"/>
          </w:tcPr>
          <w:p w14:paraId="55586BB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058D2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7944D9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5103" w:type="dxa"/>
            <w:vAlign w:val="center"/>
          </w:tcPr>
          <w:p w14:paraId="572637B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质量检验标准</w:t>
            </w:r>
          </w:p>
        </w:tc>
        <w:tc>
          <w:tcPr>
            <w:tcW w:w="3402" w:type="dxa"/>
            <w:vAlign w:val="center"/>
          </w:tcPr>
          <w:p w14:paraId="7940B50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2AAD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2BD6004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5103" w:type="dxa"/>
            <w:vAlign w:val="center"/>
          </w:tcPr>
          <w:p w14:paraId="206340B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其他入库检</w:t>
            </w:r>
          </w:p>
        </w:tc>
        <w:tc>
          <w:tcPr>
            <w:tcW w:w="3402" w:type="dxa"/>
            <w:vAlign w:val="center"/>
          </w:tcPr>
          <w:p w14:paraId="7803AEB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768B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73F0CAE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5103" w:type="dxa"/>
            <w:vAlign w:val="center"/>
          </w:tcPr>
          <w:p w14:paraId="100132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质检明细</w:t>
            </w:r>
          </w:p>
        </w:tc>
        <w:tc>
          <w:tcPr>
            <w:tcW w:w="3402" w:type="dxa"/>
            <w:vAlign w:val="center"/>
          </w:tcPr>
          <w:p w14:paraId="79E8FE1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7983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5F2C19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5103" w:type="dxa"/>
            <w:vAlign w:val="center"/>
          </w:tcPr>
          <w:p w14:paraId="5C76A1B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不合格品处置</w:t>
            </w:r>
          </w:p>
        </w:tc>
        <w:tc>
          <w:tcPr>
            <w:tcW w:w="3402" w:type="dxa"/>
            <w:vAlign w:val="center"/>
          </w:tcPr>
          <w:p w14:paraId="5D884F3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5E6B9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AFFF9E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10</w:t>
            </w:r>
          </w:p>
        </w:tc>
        <w:tc>
          <w:tcPr>
            <w:tcW w:w="5103" w:type="dxa"/>
            <w:vAlign w:val="center"/>
          </w:tcPr>
          <w:p w14:paraId="0F26DA0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质检报工</w:t>
            </w:r>
          </w:p>
        </w:tc>
        <w:tc>
          <w:tcPr>
            <w:tcW w:w="3402" w:type="dxa"/>
            <w:vAlign w:val="center"/>
          </w:tcPr>
          <w:p w14:paraId="62BD0AA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652A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4CD4164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11</w:t>
            </w:r>
          </w:p>
        </w:tc>
        <w:tc>
          <w:tcPr>
            <w:tcW w:w="5103" w:type="dxa"/>
            <w:vAlign w:val="center"/>
          </w:tcPr>
          <w:p w14:paraId="6E7A0A2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测试装配任务</w:t>
            </w:r>
          </w:p>
        </w:tc>
        <w:tc>
          <w:tcPr>
            <w:tcW w:w="3402" w:type="dxa"/>
            <w:vAlign w:val="center"/>
          </w:tcPr>
          <w:p w14:paraId="041A8CE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61F2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0BC94B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12</w:t>
            </w:r>
          </w:p>
        </w:tc>
        <w:tc>
          <w:tcPr>
            <w:tcW w:w="5103" w:type="dxa"/>
            <w:vAlign w:val="center"/>
          </w:tcPr>
          <w:p w14:paraId="4630FF2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及时检验报表</w:t>
            </w:r>
          </w:p>
        </w:tc>
        <w:tc>
          <w:tcPr>
            <w:tcW w:w="3402" w:type="dxa"/>
            <w:vAlign w:val="center"/>
          </w:tcPr>
          <w:p w14:paraId="245E6AD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  <w:tr w14:paraId="7EFD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536B596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5103" w:type="dxa"/>
            <w:vAlign w:val="center"/>
          </w:tcPr>
          <w:p w14:paraId="36FDD35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产品合格率（工位）</w:t>
            </w:r>
          </w:p>
        </w:tc>
        <w:tc>
          <w:tcPr>
            <w:tcW w:w="3402" w:type="dxa"/>
            <w:vAlign w:val="center"/>
          </w:tcPr>
          <w:p w14:paraId="1C07C1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质量管理</w:t>
            </w:r>
          </w:p>
        </w:tc>
      </w:tr>
    </w:tbl>
    <w:p w14:paraId="41C7B369">
      <w:pPr>
        <w:bidi w:val="0"/>
        <w:rPr>
          <w:rFonts w:hint="default"/>
          <w:lang w:eastAsia="zh-CN"/>
        </w:rPr>
      </w:pPr>
    </w:p>
    <w:p w14:paraId="3F2E2EED">
      <w:pPr>
        <w:pStyle w:val="3"/>
        <w:bidi w:val="0"/>
        <w:rPr>
          <w:rFonts w:hint="eastAsia"/>
          <w:lang w:eastAsia="zh-CN"/>
        </w:rPr>
      </w:pPr>
      <w:bookmarkStart w:id="98" w:name="_Toc6592"/>
      <w:r>
        <w:rPr>
          <w:rFonts w:hint="eastAsia"/>
          <w:lang w:eastAsia="zh-CN"/>
        </w:rPr>
        <w:t>A.9 销售订单管理</w:t>
      </w:r>
      <w:bookmarkEnd w:id="98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34"/>
        <w:gridCol w:w="5103"/>
        <w:gridCol w:w="3402"/>
      </w:tblGrid>
      <w:tr w14:paraId="62B0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134" w:type="dxa"/>
            <w:vAlign w:val="center"/>
          </w:tcPr>
          <w:p w14:paraId="2D514CD0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5103" w:type="dxa"/>
            <w:vAlign w:val="center"/>
          </w:tcPr>
          <w:p w14:paraId="0226EF4C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页面名称</w:t>
            </w:r>
          </w:p>
        </w:tc>
        <w:tc>
          <w:tcPr>
            <w:tcW w:w="3402" w:type="dxa"/>
            <w:vAlign w:val="center"/>
          </w:tcPr>
          <w:p w14:paraId="40C2A6E0">
            <w:pPr>
              <w:keepNext/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技术归属</w:t>
            </w:r>
          </w:p>
        </w:tc>
      </w:tr>
      <w:tr w14:paraId="61456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4" w:type="dxa"/>
            <w:vAlign w:val="center"/>
          </w:tcPr>
          <w:p w14:paraId="61DA430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5103" w:type="dxa"/>
            <w:vAlign w:val="center"/>
          </w:tcPr>
          <w:p w14:paraId="5A2C1D4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销售订单状态</w:t>
            </w:r>
          </w:p>
        </w:tc>
        <w:tc>
          <w:tcPr>
            <w:tcW w:w="3402" w:type="dxa"/>
            <w:vAlign w:val="center"/>
          </w:tcPr>
          <w:p w14:paraId="2C06345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销售订单管理</w:t>
            </w:r>
          </w:p>
        </w:tc>
      </w:tr>
    </w:tbl>
    <w:p w14:paraId="7BF111A0">
      <w:pPr>
        <w:bidi w:val="0"/>
        <w:rPr>
          <w:rFonts w:hint="default"/>
          <w:lang w:eastAsia="zh-CN"/>
        </w:rPr>
      </w:pPr>
    </w:p>
    <w:p w14:paraId="77487036">
      <w:pPr>
        <w:pStyle w:val="2"/>
        <w:bidi w:val="0"/>
        <w:rPr>
          <w:rFonts w:hint="eastAsia"/>
          <w:lang w:eastAsia="zh-CN"/>
        </w:rPr>
      </w:pPr>
      <w:bookmarkStart w:id="99" w:name="_Toc23891"/>
      <w:r>
        <w:rPr>
          <w:rFonts w:hint="eastAsia"/>
          <w:lang w:eastAsia="zh-CN"/>
        </w:rPr>
        <w:t>20 附录B：关键对象参考</w:t>
      </w:r>
      <w:bookmarkEnd w:id="99"/>
    </w:p>
    <w:p w14:paraId="5C74D44B">
      <w:pPr>
        <w:pStyle w:val="3"/>
        <w:bidi w:val="0"/>
        <w:rPr>
          <w:rFonts w:hint="eastAsia"/>
          <w:lang w:eastAsia="zh-CN"/>
        </w:rPr>
      </w:pPr>
      <w:bookmarkStart w:id="100" w:name="_Toc8868"/>
      <w:r>
        <w:rPr>
          <w:rFonts w:hint="eastAsia"/>
          <w:lang w:eastAsia="zh-CN"/>
        </w:rPr>
        <w:t>B.1 代表性数据库对象</w:t>
      </w:r>
      <w:bookmarkEnd w:id="100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1"/>
        <w:gridCol w:w="4536"/>
        <w:gridCol w:w="3402"/>
      </w:tblGrid>
      <w:tr w14:paraId="17E70966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701" w:type="dxa"/>
            <w:vAlign w:val="center"/>
          </w:tcPr>
          <w:p w14:paraId="6DEA599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类别</w:t>
            </w:r>
          </w:p>
        </w:tc>
        <w:tc>
          <w:tcPr>
            <w:tcW w:w="4536" w:type="dxa"/>
            <w:vAlign w:val="center"/>
          </w:tcPr>
          <w:p w14:paraId="2462B4FD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代表对象</w:t>
            </w:r>
          </w:p>
        </w:tc>
        <w:tc>
          <w:tcPr>
            <w:tcW w:w="3402" w:type="dxa"/>
            <w:vAlign w:val="center"/>
          </w:tcPr>
          <w:p w14:paraId="1C0AB18A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用途</w:t>
            </w:r>
          </w:p>
        </w:tc>
      </w:tr>
      <w:tr w14:paraId="5A754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05697A1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生产计划</w:t>
            </w:r>
          </w:p>
        </w:tc>
        <w:tc>
          <w:tcPr>
            <w:tcW w:w="4536" w:type="dxa"/>
            <w:vAlign w:val="center"/>
          </w:tcPr>
          <w:p w14:paraId="4623A50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MES_接口_生产计划、MES_接口_生产计划_生产任务</w:t>
            </w:r>
          </w:p>
        </w:tc>
        <w:tc>
          <w:tcPr>
            <w:tcW w:w="3402" w:type="dxa"/>
            <w:vAlign w:val="center"/>
          </w:tcPr>
          <w:p w14:paraId="77D2EEC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订单和工序任务主数据</w:t>
            </w:r>
          </w:p>
        </w:tc>
      </w:tr>
      <w:tr w14:paraId="2BADF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1BA8FB9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工艺</w:t>
            </w:r>
          </w:p>
        </w:tc>
        <w:tc>
          <w:tcPr>
            <w:tcW w:w="4536" w:type="dxa"/>
            <w:vAlign w:val="center"/>
          </w:tcPr>
          <w:p w14:paraId="23C4E1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基础表_工序、标准工艺库、生产工艺库</w:t>
            </w:r>
          </w:p>
        </w:tc>
        <w:tc>
          <w:tcPr>
            <w:tcW w:w="3402" w:type="dxa"/>
            <w:vAlign w:val="center"/>
          </w:tcPr>
          <w:p w14:paraId="5BC1C15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工序与路线</w:t>
            </w:r>
          </w:p>
        </w:tc>
      </w:tr>
      <w:tr w14:paraId="4171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4A4452F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工时</w:t>
            </w:r>
          </w:p>
        </w:tc>
        <w:tc>
          <w:tcPr>
            <w:tcW w:w="4536" w:type="dxa"/>
            <w:vAlign w:val="center"/>
          </w:tcPr>
          <w:p w14:paraId="16419F8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YL_加工中心_操作记录表、YL_加工中心_报工记录</w:t>
            </w:r>
          </w:p>
        </w:tc>
        <w:tc>
          <w:tcPr>
            <w:tcW w:w="3402" w:type="dxa"/>
            <w:vAlign w:val="center"/>
          </w:tcPr>
          <w:p w14:paraId="0F1C9AD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开始、暂停、结束和报工事实</w:t>
            </w:r>
          </w:p>
        </w:tc>
      </w:tr>
      <w:tr w14:paraId="172B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163146C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质量</w:t>
            </w:r>
          </w:p>
        </w:tc>
        <w:tc>
          <w:tcPr>
            <w:tcW w:w="4536" w:type="dxa"/>
            <w:vAlign w:val="center"/>
          </w:tcPr>
          <w:p w14:paraId="5B605DC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YL_质量检验_质检记录及检测明细</w:t>
            </w:r>
          </w:p>
        </w:tc>
        <w:tc>
          <w:tcPr>
            <w:tcW w:w="3402" w:type="dxa"/>
            <w:vAlign w:val="center"/>
          </w:tcPr>
          <w:p w14:paraId="79FFF24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检验结果与实测数据</w:t>
            </w:r>
          </w:p>
        </w:tc>
      </w:tr>
      <w:tr w14:paraId="3A85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7777803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资源</w:t>
            </w:r>
          </w:p>
        </w:tc>
        <w:tc>
          <w:tcPr>
            <w:tcW w:w="4536" w:type="dxa"/>
            <w:vAlign w:val="center"/>
          </w:tcPr>
          <w:p w14:paraId="36FC4E5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MES_资源主数据、设备台账、工位人员绑定表、班次表</w:t>
            </w:r>
          </w:p>
        </w:tc>
        <w:tc>
          <w:tcPr>
            <w:tcW w:w="3402" w:type="dxa"/>
            <w:vAlign w:val="center"/>
          </w:tcPr>
          <w:p w14:paraId="1F61195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工位设备与人员班次</w:t>
            </w:r>
          </w:p>
        </w:tc>
      </w:tr>
      <w:tr w14:paraId="05653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48040DA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权限</w:t>
            </w:r>
          </w:p>
        </w:tc>
        <w:tc>
          <w:tcPr>
            <w:tcW w:w="4536" w:type="dxa"/>
            <w:vAlign w:val="center"/>
          </w:tcPr>
          <w:p w14:paraId="52813B8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登录基础数据_人员信息、角色信息、人员权限角色、二级菜单</w:t>
            </w:r>
          </w:p>
        </w:tc>
        <w:tc>
          <w:tcPr>
            <w:tcW w:w="3402" w:type="dxa"/>
            <w:vAlign w:val="center"/>
          </w:tcPr>
          <w:p w14:paraId="352E7F6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身份、角色和菜单权限</w:t>
            </w:r>
          </w:p>
        </w:tc>
      </w:tr>
      <w:tr w14:paraId="6944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01" w:type="dxa"/>
            <w:vAlign w:val="center"/>
          </w:tcPr>
          <w:p w14:paraId="43AE03A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日志</w:t>
            </w:r>
          </w:p>
        </w:tc>
        <w:tc>
          <w:tcPr>
            <w:tcW w:w="4536" w:type="dxa"/>
            <w:vAlign w:val="center"/>
          </w:tcPr>
          <w:p w14:paraId="4F4E0C3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_日志、记录_日志_项目运行日志</w:t>
            </w:r>
          </w:p>
        </w:tc>
        <w:tc>
          <w:tcPr>
            <w:tcW w:w="3402" w:type="dxa"/>
            <w:vAlign w:val="center"/>
          </w:tcPr>
          <w:p w14:paraId="79A368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用户操作与接口请求响应</w:t>
            </w:r>
          </w:p>
        </w:tc>
      </w:tr>
    </w:tbl>
    <w:p w14:paraId="3FE34B59">
      <w:pPr>
        <w:bidi w:val="0"/>
        <w:rPr>
          <w:rFonts w:hint="default"/>
          <w:lang w:eastAsia="zh-CN"/>
        </w:rPr>
      </w:pPr>
    </w:p>
    <w:p w14:paraId="76DF2D4A">
      <w:pPr>
        <w:pStyle w:val="3"/>
        <w:bidi w:val="0"/>
        <w:rPr>
          <w:rFonts w:hint="eastAsia"/>
          <w:lang w:eastAsia="zh-CN"/>
        </w:rPr>
      </w:pPr>
      <w:bookmarkStart w:id="101" w:name="_Toc24450"/>
      <w:r>
        <w:rPr>
          <w:rFonts w:hint="eastAsia"/>
          <w:lang w:eastAsia="zh-CN"/>
        </w:rPr>
        <w:t>B.2 关键前端入口</w:t>
      </w:r>
      <w:bookmarkEnd w:id="101"/>
    </w:p>
    <w:tbl>
      <w:tblPr>
        <w:tblStyle w:val="10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402"/>
        <w:gridCol w:w="6237"/>
      </w:tblGrid>
      <w:tr w14:paraId="0A42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</w:trPr>
        <w:tc>
          <w:tcPr>
            <w:tcW w:w="3402" w:type="dxa"/>
            <w:vAlign w:val="center"/>
          </w:tcPr>
          <w:p w14:paraId="2D689897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文件</w:t>
            </w:r>
          </w:p>
        </w:tc>
        <w:tc>
          <w:tcPr>
            <w:tcW w:w="6237" w:type="dxa"/>
            <w:vAlign w:val="center"/>
          </w:tcPr>
          <w:p w14:paraId="3B50C98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7"/>
                <w:vertAlign w:val="baseline"/>
                <w:lang w:eastAsia="zh-CN"/>
              </w:rPr>
              <w:t>职责</w:t>
            </w:r>
          </w:p>
        </w:tc>
      </w:tr>
      <w:tr w14:paraId="5329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73D5D7A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src/main.js</w:t>
            </w:r>
          </w:p>
        </w:tc>
        <w:tc>
          <w:tcPr>
            <w:tcW w:w="6237" w:type="dxa"/>
            <w:vAlign w:val="center"/>
          </w:tcPr>
          <w:p w14:paraId="7D2B57F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注册 Vue、Element UI、公共指令、CRUD、图表和根实例</w:t>
            </w:r>
          </w:p>
        </w:tc>
      </w:tr>
      <w:tr w14:paraId="4697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3F2B12D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src/permission.js</w:t>
            </w:r>
          </w:p>
        </w:tc>
        <w:tc>
          <w:tcPr>
            <w:tcW w:w="6237" w:type="dxa"/>
            <w:vAlign w:val="center"/>
          </w:tcPr>
          <w:p w14:paraId="2085B99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登录白名单、动态菜单加载和路由守卫</w:t>
            </w:r>
          </w:p>
        </w:tc>
      </w:tr>
      <w:tr w14:paraId="091B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03C0788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src/router/getTreeData.js</w:t>
            </w:r>
          </w:p>
        </w:tc>
        <w:tc>
          <w:tcPr>
            <w:tcW w:w="6237" w:type="dxa"/>
            <w:vAlign w:val="center"/>
          </w:tcPr>
          <w:p w14:paraId="2DD651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将数据库菜单转换为路由树</w:t>
            </w:r>
          </w:p>
        </w:tc>
      </w:tr>
      <w:tr w14:paraId="581F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0D22AB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src/utils/request.js</w:t>
            </w:r>
          </w:p>
        </w:tc>
        <w:tc>
          <w:tcPr>
            <w:tcW w:w="6237" w:type="dxa"/>
            <w:vAlign w:val="center"/>
          </w:tcPr>
          <w:p w14:paraId="0DE9C6E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MES 通用 Axios 实例和文件地址</w:t>
            </w:r>
          </w:p>
        </w:tc>
      </w:tr>
      <w:tr w14:paraId="687D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197936B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src/utils/curd.js</w:t>
            </w:r>
          </w:p>
        </w:tc>
        <w:tc>
          <w:tcPr>
            <w:tcW w:w="6237" w:type="dxa"/>
            <w:vAlign w:val="center"/>
          </w:tcPr>
          <w:p w14:paraId="4D722BF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统一请求载荷、通用表格操作和设备读写辅助</w:t>
            </w:r>
          </w:p>
        </w:tc>
      </w:tr>
      <w:tr w14:paraId="7FDE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53870EA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src/api/b1s.js / tm.js</w:t>
            </w:r>
          </w:p>
        </w:tc>
        <w:tc>
          <w:tcPr>
            <w:tcW w:w="6237" w:type="dxa"/>
            <w:vAlign w:val="center"/>
          </w:tcPr>
          <w:p w14:paraId="5894FFB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SAP B1 与 TM 代理封装</w:t>
            </w:r>
          </w:p>
        </w:tc>
      </w:tr>
      <w:tr w14:paraId="21264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402" w:type="dxa"/>
            <w:vAlign w:val="center"/>
          </w:tcPr>
          <w:p w14:paraId="5D630B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static/config.js</w:t>
            </w:r>
          </w:p>
        </w:tc>
        <w:tc>
          <w:tcPr>
            <w:tcW w:w="6237" w:type="dxa"/>
            <w:vAlign w:val="center"/>
          </w:tcPr>
          <w:p w14:paraId="0C98094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cs="Arial"/>
                <w:sz w:val="17"/>
                <w:vertAlign w:val="baseline"/>
                <w:lang w:eastAsia="zh-CN"/>
              </w:rPr>
              <w:t>正式运行时服务地址</w:t>
            </w:r>
          </w:p>
        </w:tc>
      </w:tr>
    </w:tbl>
    <w:p w14:paraId="363D1F9C">
      <w:pPr>
        <w:bidi w:val="0"/>
        <w:rPr>
          <w:rFonts w:hint="default"/>
          <w:lang w:eastAsia="zh-CN"/>
        </w:rPr>
      </w:pPr>
    </w:p>
    <w:p w14:paraId="79501821">
      <w:pPr>
        <w:pStyle w:val="2"/>
        <w:bidi w:val="0"/>
        <w:rPr>
          <w:rFonts w:hint="eastAsia"/>
          <w:lang w:eastAsia="zh-CN"/>
        </w:rPr>
      </w:pPr>
      <w:bookmarkStart w:id="102" w:name="_Toc2984"/>
      <w:r>
        <w:rPr>
          <w:rFonts w:hint="eastAsia"/>
          <w:lang w:eastAsia="zh-CN"/>
        </w:rPr>
        <w:t>21 附录C：上线与运维检查表</w:t>
      </w:r>
      <w:bookmarkEnd w:id="102"/>
    </w:p>
    <w:tbl>
      <w:tblPr>
        <w:tblStyle w:val="10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21"/>
        <w:gridCol w:w="5330"/>
        <w:gridCol w:w="1928"/>
        <w:gridCol w:w="1701"/>
      </w:tblGrid>
      <w:tr w14:paraId="103C7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1021" w:type="dxa"/>
            <w:vAlign w:val="center"/>
          </w:tcPr>
          <w:p w14:paraId="33C59F03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编号</w:t>
            </w:r>
          </w:p>
        </w:tc>
        <w:tc>
          <w:tcPr>
            <w:tcW w:w="5330" w:type="dxa"/>
            <w:vAlign w:val="center"/>
          </w:tcPr>
          <w:p w14:paraId="54314CB8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检查项</w:t>
            </w:r>
          </w:p>
        </w:tc>
        <w:tc>
          <w:tcPr>
            <w:tcW w:w="1928" w:type="dxa"/>
            <w:vAlign w:val="center"/>
          </w:tcPr>
          <w:p w14:paraId="3E42CE8F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结果</w:t>
            </w:r>
          </w:p>
        </w:tc>
        <w:tc>
          <w:tcPr>
            <w:tcW w:w="1701" w:type="dxa"/>
            <w:vAlign w:val="center"/>
          </w:tcPr>
          <w:p w14:paraId="3912A094">
            <w:pPr>
              <w:bidi w:val="0"/>
              <w:spacing w:after="0" w:line="240" w:lineRule="auto"/>
              <w:jc w:val="center"/>
              <w:rPr>
                <w:rFonts w:hint="default" w:ascii="Arial" w:hAnsi="Arial" w:eastAsia="微软雅黑" w:cs="Arial"/>
                <w:b/>
                <w:sz w:val="16"/>
                <w:vertAlign w:val="baseline"/>
                <w:lang w:eastAsia="zh-CN"/>
              </w:rPr>
            </w:pPr>
            <w:r>
              <w:rPr>
                <w:rFonts w:hint="eastAsia" w:eastAsia="微软雅黑" w:cs="Arial"/>
                <w:b/>
                <w:sz w:val="16"/>
                <w:vertAlign w:val="baseline"/>
                <w:lang w:eastAsia="zh-CN"/>
              </w:rPr>
              <w:t>责任人/日期</w:t>
            </w:r>
          </w:p>
        </w:tc>
      </w:tr>
      <w:tr w14:paraId="41C8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120FC41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C-01</w:t>
            </w:r>
          </w:p>
        </w:tc>
        <w:tc>
          <w:tcPr>
            <w:tcW w:w="5330" w:type="dxa"/>
            <w:vAlign w:val="center"/>
          </w:tcPr>
          <w:p w14:paraId="3E9ADA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前端构建、版本号、资源和 static/config.js 正确</w:t>
            </w:r>
          </w:p>
        </w:tc>
        <w:tc>
          <w:tcPr>
            <w:tcW w:w="1928" w:type="dxa"/>
            <w:vAlign w:val="center"/>
          </w:tcPr>
          <w:p w14:paraId="52C59AA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795D9A3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1208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35ABD19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C-02</w:t>
            </w:r>
          </w:p>
        </w:tc>
        <w:tc>
          <w:tcPr>
            <w:tcW w:w="5330" w:type="dxa"/>
            <w:vAlign w:val="center"/>
          </w:tcPr>
          <w:p w14:paraId="46E72C9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HTTPS证书、端口、防火墙和DNS/地址可用</w:t>
            </w:r>
          </w:p>
        </w:tc>
        <w:tc>
          <w:tcPr>
            <w:tcW w:w="1928" w:type="dxa"/>
            <w:vAlign w:val="center"/>
          </w:tcPr>
          <w:p w14:paraId="0A406A1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279FAA2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73527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6674F04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C-03</w:t>
            </w:r>
          </w:p>
        </w:tc>
        <w:tc>
          <w:tcPr>
            <w:tcW w:w="5330" w:type="dxa"/>
            <w:vAlign w:val="center"/>
          </w:tcPr>
          <w:p w14:paraId="66DD27D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数据库备份完成且可读取，回退脚本已准备</w:t>
            </w:r>
          </w:p>
        </w:tc>
        <w:tc>
          <w:tcPr>
            <w:tcW w:w="1928" w:type="dxa"/>
            <w:vAlign w:val="center"/>
          </w:tcPr>
          <w:p w14:paraId="78A8CFF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7A27C7E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4978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24CB409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C-04</w:t>
            </w:r>
          </w:p>
        </w:tc>
        <w:tc>
          <w:tcPr>
            <w:tcW w:w="5330" w:type="dxa"/>
            <w:vAlign w:val="center"/>
          </w:tcPr>
          <w:p w14:paraId="4CE6EA4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数据库脚本执行与只读验证完成</w:t>
            </w:r>
          </w:p>
        </w:tc>
        <w:tc>
          <w:tcPr>
            <w:tcW w:w="1928" w:type="dxa"/>
            <w:vAlign w:val="center"/>
          </w:tcPr>
          <w:p w14:paraId="40B96A3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74B7DB8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4ECF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79ED55B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C-05</w:t>
            </w:r>
          </w:p>
        </w:tc>
        <w:tc>
          <w:tcPr>
            <w:tcW w:w="5330" w:type="dxa"/>
            <w:vAlign w:val="center"/>
          </w:tcPr>
          <w:p w14:paraId="0ED1222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目标角色菜单、按钮与数据权限验证完成</w:t>
            </w:r>
          </w:p>
        </w:tc>
        <w:tc>
          <w:tcPr>
            <w:tcW w:w="1928" w:type="dxa"/>
            <w:vAlign w:val="center"/>
          </w:tcPr>
          <w:p w14:paraId="1EF0DFD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7C97410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4B7C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4CF4234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C-06</w:t>
            </w:r>
          </w:p>
        </w:tc>
        <w:tc>
          <w:tcPr>
            <w:tcW w:w="5330" w:type="dxa"/>
            <w:vAlign w:val="center"/>
          </w:tcPr>
          <w:p w14:paraId="68610C5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核心业务链路与外部接口冒烟通过</w:t>
            </w:r>
          </w:p>
        </w:tc>
        <w:tc>
          <w:tcPr>
            <w:tcW w:w="1928" w:type="dxa"/>
            <w:vAlign w:val="center"/>
          </w:tcPr>
          <w:p w14:paraId="3A70BC4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5CCAA9F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2D636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21" w:type="dxa"/>
            <w:vAlign w:val="center"/>
          </w:tcPr>
          <w:p w14:paraId="2FD91D0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C-07</w:t>
            </w:r>
          </w:p>
        </w:tc>
        <w:tc>
          <w:tcPr>
            <w:tcW w:w="5330" w:type="dxa"/>
            <w:vAlign w:val="center"/>
          </w:tcPr>
          <w:p w14:paraId="1676C27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日志、监控、告警和应急联系人就绪</w:t>
            </w:r>
          </w:p>
        </w:tc>
        <w:tc>
          <w:tcPr>
            <w:tcW w:w="1928" w:type="dxa"/>
            <w:vAlign w:val="center"/>
          </w:tcPr>
          <w:p w14:paraId="57B89BE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57956A1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0698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776AE96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C-08</w:t>
            </w:r>
          </w:p>
        </w:tc>
        <w:tc>
          <w:tcPr>
            <w:tcW w:w="5330" w:type="dxa"/>
            <w:vAlign w:val="center"/>
          </w:tcPr>
          <w:p w14:paraId="3B55953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变更记录、技术文档和用户文档已更新</w:t>
            </w:r>
          </w:p>
        </w:tc>
        <w:tc>
          <w:tcPr>
            <w:tcW w:w="1928" w:type="dxa"/>
            <w:vAlign w:val="center"/>
          </w:tcPr>
          <w:p w14:paraId="498D0EF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749CB57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  <w:tr w14:paraId="5729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21" w:type="dxa"/>
            <w:vAlign w:val="center"/>
          </w:tcPr>
          <w:p w14:paraId="5DDC119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C-09</w:t>
            </w:r>
          </w:p>
        </w:tc>
        <w:tc>
          <w:tcPr>
            <w:tcW w:w="5330" w:type="dxa"/>
            <w:vAlign w:val="center"/>
          </w:tcPr>
          <w:p w14:paraId="66E2E0A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观察期和回退决策人已明确</w:t>
            </w:r>
          </w:p>
        </w:tc>
        <w:tc>
          <w:tcPr>
            <w:tcW w:w="1928" w:type="dxa"/>
            <w:vAlign w:val="center"/>
          </w:tcPr>
          <w:p w14:paraId="67B915A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  <w:r>
              <w:rPr>
                <w:rFonts w:hint="eastAsia" w:cs="Arial"/>
                <w:sz w:val="16"/>
                <w:vertAlign w:val="baseline"/>
                <w:lang w:eastAsia="zh-CN"/>
              </w:rPr>
              <w:t>□通过 □不通过</w:t>
            </w:r>
          </w:p>
        </w:tc>
        <w:tc>
          <w:tcPr>
            <w:tcW w:w="1701" w:type="dxa"/>
            <w:vAlign w:val="center"/>
          </w:tcPr>
          <w:p w14:paraId="21E9309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6"/>
                <w:vertAlign w:val="baseline"/>
                <w:lang w:eastAsia="zh-CN"/>
              </w:rPr>
            </w:pPr>
          </w:p>
        </w:tc>
      </w:tr>
    </w:tbl>
    <w:p w14:paraId="135514E1">
      <w:pPr>
        <w:bidi w:val="0"/>
        <w:rPr>
          <w:rFonts w:hint="default"/>
          <w:lang w:eastAsia="zh-CN"/>
        </w:rPr>
      </w:pPr>
    </w:p>
    <w:p w14:paraId="0055177B">
      <w:pPr>
        <w:bidi w:val="0"/>
        <w:rPr>
          <w:rFonts w:hint="default"/>
          <w:lang w:eastAsia="zh-CN"/>
        </w:rPr>
      </w:pPr>
      <w:bookmarkStart w:id="103" w:name="_GoBack"/>
      <w:bookmarkEnd w:id="103"/>
    </w:p>
    <w:sectPr>
      <w:headerReference r:id="rId5" w:type="default"/>
      <w:footerReference r:id="rId6" w:type="default"/>
      <w:pgSz w:w="11906" w:h="16838"/>
      <w:pgMar w:top="1304" w:right="1191" w:bottom="1134" w:left="1361" w:header="567" w:footer="567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91693">
    <w:pPr>
      <w:pStyle w:val="5"/>
      <w:jc w:val="center"/>
      <w:rPr>
        <w:rFonts w:hint="eastAsia" w:eastAsia="宋体"/>
        <w:lang w:eastAsia="zh-CN"/>
      </w:rPr>
    </w:pPr>
    <w:r>
      <w:rPr>
        <w:rFonts w:hint="default" w:ascii="Arial" w:hAnsi="Arial" w:eastAsia="微软雅黑" w:cs="Arial"/>
        <w:color w:val="777777"/>
        <w:sz w:val="17"/>
        <w:lang w:eastAsia="zh-CN"/>
      </w:rPr>
      <w:t xml:space="preserve">内部技术资料  |  </w:t>
    </w:r>
    <w:r>
      <w:rPr>
        <w:rFonts w:hint="default" w:ascii="Arial" w:hAnsi="Arial" w:eastAsia="微软雅黑" w:cs="Arial"/>
        <w:color w:val="777777"/>
        <w:sz w:val="17"/>
        <w:lang w:eastAsia="zh-CN"/>
      </w:rPr>
      <w:fldChar w:fldCharType="begin"/>
    </w:r>
    <w:r>
      <w:rPr>
        <w:rFonts w:hint="default" w:ascii="Arial" w:hAnsi="Arial" w:eastAsia="微软雅黑" w:cs="Arial"/>
        <w:color w:val="777777"/>
        <w:sz w:val="17"/>
        <w:lang w:eastAsia="zh-CN"/>
      </w:rPr>
      <w:instrText xml:space="preserve"> PAGE  \* MERGEFORMAT </w:instrText>
    </w:r>
    <w:r>
      <w:rPr>
        <w:rFonts w:hint="default" w:ascii="Arial" w:hAnsi="Arial" w:eastAsia="微软雅黑" w:cs="Arial"/>
        <w:color w:val="777777"/>
        <w:sz w:val="17"/>
        <w:lang w:eastAsia="zh-CN"/>
      </w:rPr>
      <w:fldChar w:fldCharType="separate"/>
    </w:r>
    <w:r>
      <w:rPr>
        <w:rFonts w:hint="default" w:ascii="Arial" w:hAnsi="Arial" w:eastAsia="微软雅黑" w:cs="Arial"/>
        <w:color w:val="777777"/>
        <w:sz w:val="17"/>
        <w:lang w:eastAsia="zh-CN"/>
      </w:rPr>
      <w:t>2</w:t>
    </w:r>
    <w:r>
      <w:rPr>
        <w:rFonts w:hint="default" w:ascii="Arial" w:hAnsi="Arial" w:eastAsia="微软雅黑" w:cs="Arial"/>
        <w:color w:val="777777"/>
        <w:sz w:val="17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314EC">
    <w:pPr>
      <w:pStyle w:val="6"/>
      <w:jc w:val="right"/>
      <w:rPr>
        <w:rFonts w:hint="eastAsia" w:eastAsia="宋体"/>
        <w:lang w:eastAsia="zh-CN"/>
      </w:rPr>
    </w:pPr>
    <w:r>
      <w:rPr>
        <w:rFonts w:hint="default" w:ascii="Arial" w:hAnsi="Arial" w:eastAsia="微软雅黑" w:cs="Arial"/>
        <w:color w:val="777777"/>
        <w:sz w:val="17"/>
        <w:lang w:eastAsia="zh-CN"/>
      </w:rPr>
      <w:t>大连元利流体技术有限公司 MES 系统标准技术文档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A0690"/>
    <w:rsid w:val="5B4A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20" w:line="360" w:lineRule="auto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0" w:beforeAutospacing="0" w:after="120" w:afterLines="0" w:afterAutospacing="0" w:line="576" w:lineRule="auto"/>
      <w:outlineLvl w:val="0"/>
    </w:pPr>
    <w:rPr>
      <w:rFonts w:eastAsia="微软雅黑"/>
      <w:b/>
      <w:color w:val="314A8F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00" w:beforeLines="0" w:beforeAutospacing="0" w:after="120" w:afterLines="0" w:afterAutospacing="0" w:line="413" w:lineRule="auto"/>
      <w:outlineLvl w:val="1"/>
    </w:pPr>
    <w:rPr>
      <w:rFonts w:ascii="Arial" w:hAnsi="Arial" w:eastAsia="微软雅黑"/>
      <w:b/>
      <w:color w:val="314A8F"/>
      <w:sz w:val="2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0" w:beforeLines="0" w:beforeAutospacing="0" w:after="120" w:afterLines="0" w:afterAutospacing="0" w:line="413" w:lineRule="auto"/>
      <w:outlineLvl w:val="2"/>
    </w:pPr>
    <w:rPr>
      <w:rFonts w:eastAsia="微软雅黑"/>
      <w:b/>
      <w:color w:val="4F596B"/>
      <w:sz w:val="2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iPriority w:val="0"/>
  </w:style>
  <w:style w:type="paragraph" w:styleId="8">
    <w:name w:val="toc 2"/>
    <w:basedOn w:val="1"/>
    <w:next w:val="1"/>
    <w:uiPriority w:val="0"/>
    <w:pPr>
      <w:ind w:left="420" w:leftChars="200"/>
    </w:p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13617</Words>
  <Characters>16353</Characters>
  <Lines>0</Lines>
  <Paragraphs>0</Paragraphs>
  <TotalTime>0</TotalTime>
  <ScaleCrop>false</ScaleCrop>
  <LinksUpToDate>false</LinksUpToDate>
  <CharactersWithSpaces>58826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2026-07-24T09:57:00Z</dcterms:created>
  <dc:creator>张新阳</dc:creator>
  <cp:lastModifiedBy>张新阳</cp:lastModifiedBy>
  <dcterms:modified xsi:type="dcterms:W3CDTF">2026-07-24T09:57:53Z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8D74759CFD244F32B54B00DC9799570D_11</vt:lpwstr>
  </property>
</Properties>
</file>