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85A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新增</w:t>
      </w:r>
      <w:r>
        <w:rPr>
          <w:rFonts w:hint="eastAsia"/>
        </w:rPr>
        <w:t>结算工时</w:t>
      </w:r>
      <w:r>
        <w:rPr>
          <w:rFonts w:hint="eastAsia"/>
          <w:lang w:val="en-US" w:eastAsia="zh-CN"/>
        </w:rPr>
        <w:t>页面</w:t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drawing>
          <wp:inline distT="0" distB="0" distL="114300" distR="114300">
            <wp:extent cx="5266690" cy="42989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Fonts w:hint="eastAsia"/>
          <w:lang w:val="en-US" w:eastAsia="zh-CN"/>
        </w:rPr>
        <w:t>任务描述参考工时查询页面新建结算工时页面</w:t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根据订单编号（生产订单号）和工位（指派对象分组）统计设备工时（加工工时&gt;0）</w:t>
      </w:r>
    </w:p>
    <w:p w14:paraId="4CF415D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报工工时就是上述的工时操作类别等于报工的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主辅工时就是上述的工时操作类别等于辅助结束的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完成数分为报工完成数和辅助完成数  是上面工时的操作数值求和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增加字段操作人取值方法相同TaskAID相同开始时间的操作人拼接，且去掉加工工时大于0的数据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74F5D"/>
    <w:rsid w:val="0D37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2026-06-27T07:47:00Z</dcterms:created>
  <dc:creator>张新阳</dc:creator>
  <cp:lastModifiedBy>张新阳</cp:lastModifiedBy>
  <dcterms:modified xsi:type="dcterms:W3CDTF">2026-06-27T08:25:26Z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D2B9F3796E9C4922ACCB67771195C9E6_11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