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</w:pPr>
      <w:r>
        <w:rPr>
          <w:rFonts w:ascii="Calibri" w:hAnsi="Calibri" w:eastAsia="微软雅黑"/>
          <w:b/>
          <w:color w:val="0B2545"/>
          <w:sz w:val="44"/>
        </w:rPr>
        <w:t>库房管理方案数据流</w:t>
      </w:r>
    </w:p>
    <w:p>
      <w:pPr>
        <w:spacing w:after="280"/>
      </w:pPr>
      <w:r>
        <w:rPr>
          <w:rFonts w:ascii="Calibri" w:hAnsi="Calibri" w:eastAsia="微软雅黑"/>
          <w:b w:val="0"/>
          <w:color w:val="666666"/>
          <w:sz w:val="21"/>
        </w:rPr>
        <w:t>景耀 JY1.0 MES 仓储模块数据流、落表顺序与接口流转说明</w:t>
      </w:r>
    </w:p>
    <w:p>
      <w:pPr>
        <w:pStyle w:val="Heading1"/>
      </w:pPr>
      <w:r>
        <w:rPr>
          <w:rFonts w:ascii="Calibri" w:hAnsi="Calibri" w:eastAsia="微软雅黑"/>
          <w:b/>
          <w:color w:val="2E74B5"/>
          <w:sz w:val="32"/>
        </w:rPr>
        <w:t>1. 数据流总览</w:t>
      </w:r>
    </w:p>
    <w:p>
      <w:r>
        <w:rPr>
          <w:rFonts w:ascii="Calibri" w:hAnsi="Calibri" w:eastAsia="微软雅黑"/>
          <w:b w:val="0"/>
          <w:color w:val="000000"/>
          <w:sz w:val="21"/>
        </w:rPr>
        <w:t>库房管理模块的数据流以 `库存现存量` 为当前结果表，以 `库存变动流水` 为全过程追溯表。所有入库、出库、移库、盘点确认都不能直接只改现存量，必须同步写入业务单据和库存流水。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351129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_数据流总览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511296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rPr>
          <w:rFonts w:ascii="Calibri" w:hAnsi="Calibri" w:eastAsia="微软雅黑"/>
          <w:b/>
          <w:color w:val="2E74B5"/>
          <w:sz w:val="32"/>
        </w:rPr>
        <w:t>2. 核心数据对象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2500"/>
        <w:gridCol w:w="2500"/>
        <w:gridCol w:w="2660"/>
      </w:tblGrid>
      <w:tr>
        <w:tc>
          <w:tcPr>
            <w:tcW w:type="dxa" w:w="1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数据对象</w:t>
            </w:r>
          </w:p>
        </w:tc>
        <w:tc>
          <w:tcPr>
            <w:tcW w:type="dxa" w:w="25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数据来源</w:t>
            </w:r>
          </w:p>
        </w:tc>
        <w:tc>
          <w:tcPr>
            <w:tcW w:type="dxa" w:w="25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写入时机</w:t>
            </w:r>
          </w:p>
        </w:tc>
        <w:tc>
          <w:tcPr>
            <w:tcW w:type="dxa" w:w="266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主要用途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库房主表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库房管理页面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新增、编辑库房时</w:t>
            </w:r>
          </w:p>
        </w:tc>
        <w:tc>
          <w:tcPr>
            <w:tcW w:type="dxa" w:w="2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定义仓储空间一级单位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库位主表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库位管理页面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新增、编辑库位时</w:t>
            </w:r>
          </w:p>
        </w:tc>
        <w:tc>
          <w:tcPr>
            <w:tcW w:type="dxa" w:w="2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定义物料实际存放位置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物料主文件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现有物料维护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物料建档时</w:t>
            </w:r>
          </w:p>
        </w:tc>
        <w:tc>
          <w:tcPr>
            <w:tcW w:type="dxa" w:w="2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提供物料编码、名称、图号、规格、单位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入库单主表/明细表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入库页面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入库提交成功时</w:t>
            </w:r>
          </w:p>
        </w:tc>
        <w:tc>
          <w:tcPr>
            <w:tcW w:type="dxa" w:w="2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记录入库业务来源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出库单主表/明细表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出库页面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出库提交成功时</w:t>
            </w:r>
          </w:p>
        </w:tc>
        <w:tc>
          <w:tcPr>
            <w:tcW w:type="dxa" w:w="2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记录出库业务来源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移库单主表/明细表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移库页面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移库提交成功时</w:t>
            </w:r>
          </w:p>
        </w:tc>
        <w:tc>
          <w:tcPr>
            <w:tcW w:type="dxa" w:w="2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记录库位之间库存移动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盘点单主表/明细表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盘点页面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创建盘点、录入实盘、确认盘点时</w:t>
            </w:r>
          </w:p>
        </w:tc>
        <w:tc>
          <w:tcPr>
            <w:tcW w:type="dxa" w:w="2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记录账面、实盘和差异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库存现存量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公共库存过程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入库、出库、移库、盘点确认时</w:t>
            </w:r>
          </w:p>
        </w:tc>
        <w:tc>
          <w:tcPr>
            <w:tcW w:type="dxa" w:w="2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查询当前库存结果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库存变动流水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公共库存过程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每次库存数量变化时</w:t>
            </w:r>
          </w:p>
        </w:tc>
        <w:tc>
          <w:tcPr>
            <w:tcW w:type="dxa" w:w="2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追溯库存变化原因</w:t>
            </w:r>
          </w:p>
        </w:tc>
      </w:tr>
    </w:tbl>
    <w:p/>
    <w:p>
      <w:pPr>
        <w:pStyle w:val="Heading1"/>
      </w:pPr>
      <w:r>
        <w:rPr>
          <w:rFonts w:ascii="Calibri" w:hAnsi="Calibri" w:eastAsia="微软雅黑"/>
          <w:b/>
          <w:color w:val="2E74B5"/>
          <w:sz w:val="32"/>
        </w:rPr>
        <w:t>3. 主数据流</w:t>
      </w:r>
    </w:p>
    <w:p>
      <w:r>
        <w:rPr>
          <w:rFonts w:ascii="Calibri" w:hAnsi="Calibri" w:eastAsia="微软雅黑"/>
          <w:b w:val="0"/>
          <w:color w:val="000000"/>
          <w:sz w:val="21"/>
        </w:rPr>
        <w:t>主数据先建立库房，再建立库位，物料主文件沿用现有数据。库存业务发生前，库位必须归属一个有效库房。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201574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_主数据流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2015744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rFonts w:ascii="Calibri" w:hAnsi="Calibri" w:eastAsia="微软雅黑"/>
          <w:b w:val="0"/>
          <w:color w:val="000000"/>
          <w:sz w:val="21"/>
        </w:rPr>
        <w:t>数据规则：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`库位主表.库房流水号` 必须关联 `库房主表.库房流水号`。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同一库房下 `库位编号` 不允许重复。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停用库位不允许在新业务中选择。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已有库存的库位不允许直接删除。</w:t>
      </w:r>
    </w:p>
    <w:p>
      <w:pPr>
        <w:pStyle w:val="Heading1"/>
      </w:pPr>
      <w:r>
        <w:rPr>
          <w:rFonts w:ascii="Calibri" w:hAnsi="Calibri" w:eastAsia="微软雅黑"/>
          <w:b/>
          <w:color w:val="2E74B5"/>
          <w:sz w:val="32"/>
        </w:rPr>
        <w:t>4. 入库数据流</w:t>
      </w:r>
    </w:p>
    <w:p>
      <w:r>
        <w:rPr>
          <w:rFonts w:ascii="Calibri" w:hAnsi="Calibri" w:eastAsia="微软雅黑"/>
          <w:b w:val="0"/>
          <w:color w:val="000000"/>
          <w:sz w:val="21"/>
        </w:rPr>
        <w:t>入库数据流从入库页面开始，先形成入库单据，再调用公共库存增加过程，最后更新库存现存量并写流水。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201574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_入库数据流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2015744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rFonts w:ascii="Calibri" w:hAnsi="Calibri" w:eastAsia="微软雅黑"/>
          <w:b w:val="0"/>
          <w:color w:val="000000"/>
          <w:sz w:val="21"/>
        </w:rPr>
        <w:t>入库关键字段：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字段</w:t>
            </w:r>
          </w:p>
        </w:tc>
        <w:tc>
          <w:tcPr>
            <w:tcW w:type="dxa" w:w="676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去向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物料流水号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入库明细表、库存现存量、库存变动流水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库房流水号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入库明细表、库存现存量、库存变动流水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库位流水号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入库明细表、库存现存量、库存变动流水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批次编号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入库明细表、库存现存量、库存变动流水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入库数量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入库明细表，库存流水正数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入库单号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入库主表，库存流水业务单号</w:t>
            </w:r>
          </w:p>
        </w:tc>
      </w:tr>
    </w:tbl>
    <w:p/>
    <w:p>
      <w:pPr>
        <w:pStyle w:val="Heading1"/>
      </w:pPr>
      <w:r>
        <w:rPr>
          <w:rFonts w:ascii="Calibri" w:hAnsi="Calibri" w:eastAsia="微软雅黑"/>
          <w:b/>
          <w:color w:val="2E74B5"/>
          <w:sz w:val="32"/>
        </w:rPr>
        <w:t>5. 出库数据流</w:t>
      </w:r>
    </w:p>
    <w:p>
      <w:r>
        <w:rPr>
          <w:rFonts w:ascii="Calibri" w:hAnsi="Calibri" w:eastAsia="微软雅黑"/>
          <w:b w:val="0"/>
          <w:color w:val="000000"/>
          <w:sz w:val="21"/>
        </w:rPr>
        <w:t>出库必须先查询可用库存，再指定具体库位扣减。后端以数据库当前库存为准重新校验，不能只相信前端显示数量。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201574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_出库数据流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2015744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rFonts w:ascii="Calibri" w:hAnsi="Calibri" w:eastAsia="微软雅黑"/>
          <w:b w:val="0"/>
          <w:color w:val="000000"/>
          <w:sz w:val="21"/>
        </w:rPr>
        <w:t>出库控制点：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出库数量必须大于 0。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出库数量不能超过数据库当前可用库存。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同一物料多库位时，必须传入 `库位流水号` 或 `库存流水号`。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库存扣减后为 0 时，建议保留库存现存量记录，查询默认过滤 0 库存。</w:t>
      </w:r>
    </w:p>
    <w:p>
      <w:pPr>
        <w:pStyle w:val="Heading1"/>
      </w:pPr>
      <w:r>
        <w:rPr>
          <w:rFonts w:ascii="Calibri" w:hAnsi="Calibri" w:eastAsia="微软雅黑"/>
          <w:b/>
          <w:color w:val="2E74B5"/>
          <w:sz w:val="32"/>
        </w:rPr>
        <w:t>6. 移库数据流</w:t>
      </w:r>
    </w:p>
    <w:p>
      <w:r>
        <w:rPr>
          <w:rFonts w:ascii="Calibri" w:hAnsi="Calibri" w:eastAsia="微软雅黑"/>
          <w:b w:val="0"/>
          <w:color w:val="000000"/>
          <w:sz w:val="21"/>
        </w:rPr>
        <w:t>移库是同一事务内完成“原库位扣减”和“目标库位增加”。前端不能拆成两个接口。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247091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_移库数据流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2470912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rFonts w:ascii="Calibri" w:hAnsi="Calibri" w:eastAsia="微软雅黑"/>
          <w:b w:val="0"/>
          <w:color w:val="000000"/>
          <w:sz w:val="21"/>
        </w:rPr>
        <w:t>移库流水规则：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2500"/>
        <w:gridCol w:w="2500"/>
        <w:gridCol w:w="2660"/>
      </w:tblGrid>
      <w:tr>
        <w:tc>
          <w:tcPr>
            <w:tcW w:type="dxa" w:w="1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流水</w:t>
            </w:r>
          </w:p>
        </w:tc>
        <w:tc>
          <w:tcPr>
            <w:tcW w:type="dxa" w:w="25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变动类型</w:t>
            </w:r>
          </w:p>
        </w:tc>
        <w:tc>
          <w:tcPr>
            <w:tcW w:type="dxa" w:w="25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库位</w:t>
            </w:r>
          </w:p>
        </w:tc>
        <w:tc>
          <w:tcPr>
            <w:tcW w:type="dxa" w:w="266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数量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第一条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移出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原库位</w:t>
            </w:r>
          </w:p>
        </w:tc>
        <w:tc>
          <w:tcPr>
            <w:tcW w:type="dxa" w:w="2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负数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第二条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移入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目标库位</w:t>
            </w:r>
          </w:p>
        </w:tc>
        <w:tc>
          <w:tcPr>
            <w:tcW w:type="dxa" w:w="2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正数</w:t>
            </w:r>
          </w:p>
        </w:tc>
      </w:tr>
    </w:tbl>
    <w:p/>
    <w:p>
      <w:pPr>
        <w:pStyle w:val="Heading1"/>
      </w:pPr>
      <w:r>
        <w:rPr>
          <w:rFonts w:ascii="Calibri" w:hAnsi="Calibri" w:eastAsia="微软雅黑"/>
          <w:b/>
          <w:color w:val="2E74B5"/>
          <w:sz w:val="32"/>
        </w:rPr>
        <w:t>7. 盘点数据流</w:t>
      </w:r>
    </w:p>
    <w:p>
      <w:r>
        <w:rPr>
          <w:rFonts w:ascii="Calibri" w:hAnsi="Calibri" w:eastAsia="微软雅黑"/>
          <w:b w:val="0"/>
          <w:color w:val="000000"/>
          <w:sz w:val="21"/>
        </w:rPr>
        <w:t>盘点分为生成账面、录入实盘、确认差异三段。只有确认差异时才改变库存。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2470912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_盘点数据流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2470912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rFonts w:ascii="Calibri" w:hAnsi="Calibri" w:eastAsia="微软雅黑"/>
          <w:b w:val="0"/>
          <w:color w:val="000000"/>
          <w:sz w:val="21"/>
        </w:rPr>
        <w:t>盘点数据状态：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3580"/>
        <w:gridCol w:w="3580"/>
      </w:tblGrid>
      <w:tr>
        <w:tc>
          <w:tcPr>
            <w:tcW w:type="dxa" w:w="22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阶段</w:t>
            </w:r>
          </w:p>
        </w:tc>
        <w:tc>
          <w:tcPr>
            <w:tcW w:type="dxa" w:w="358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写入表</w:t>
            </w:r>
          </w:p>
        </w:tc>
        <w:tc>
          <w:tcPr>
            <w:tcW w:type="dxa" w:w="358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是否影响库存</w:t>
            </w:r>
          </w:p>
        </w:tc>
      </w:tr>
      <w:t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创建盘点</w:t>
            </w:r>
          </w:p>
        </w:tc>
        <w:tc>
          <w:tcPr>
            <w:tcW w:type="dxa" w:w="35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盘点单主表、盘点单明细表</w:t>
            </w:r>
          </w:p>
        </w:tc>
        <w:tc>
          <w:tcPr>
            <w:tcW w:type="dxa" w:w="35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否</w:t>
            </w:r>
          </w:p>
        </w:tc>
      </w:tr>
      <w:t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录入实盘</w:t>
            </w:r>
          </w:p>
        </w:tc>
        <w:tc>
          <w:tcPr>
            <w:tcW w:type="dxa" w:w="35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盘点单明细表</w:t>
            </w:r>
          </w:p>
        </w:tc>
        <w:tc>
          <w:tcPr>
            <w:tcW w:type="dxa" w:w="35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否</w:t>
            </w:r>
          </w:p>
        </w:tc>
      </w:tr>
      <w:t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确认盘盈</w:t>
            </w:r>
          </w:p>
        </w:tc>
        <w:tc>
          <w:tcPr>
            <w:tcW w:type="dxa" w:w="35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库存现存量、库存变动流水</w:t>
            </w:r>
          </w:p>
        </w:tc>
        <w:tc>
          <w:tcPr>
            <w:tcW w:type="dxa" w:w="35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是，增加</w:t>
            </w:r>
          </w:p>
        </w:tc>
      </w:tr>
      <w:t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确认盘亏</w:t>
            </w:r>
          </w:p>
        </w:tc>
        <w:tc>
          <w:tcPr>
            <w:tcW w:type="dxa" w:w="35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库存现存量、库存变动流水</w:t>
            </w:r>
          </w:p>
        </w:tc>
        <w:tc>
          <w:tcPr>
            <w:tcW w:type="dxa" w:w="35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是，减少</w:t>
            </w:r>
          </w:p>
        </w:tc>
      </w:tr>
    </w:tbl>
    <w:p/>
    <w:p>
      <w:pPr>
        <w:pStyle w:val="Heading1"/>
      </w:pPr>
      <w:r>
        <w:rPr>
          <w:rFonts w:ascii="Calibri" w:hAnsi="Calibri" w:eastAsia="微软雅黑"/>
          <w:b/>
          <w:color w:val="2E74B5"/>
          <w:sz w:val="32"/>
        </w:rPr>
        <w:t>8. 综合查询数据流</w:t>
      </w:r>
    </w:p>
    <w:p>
      <w:r>
        <w:rPr>
          <w:rFonts w:ascii="Calibri" w:hAnsi="Calibri" w:eastAsia="微软雅黑"/>
          <w:b w:val="0"/>
          <w:color w:val="000000"/>
          <w:sz w:val="21"/>
        </w:rPr>
        <w:t>综合查询不从单据实时汇总，而是读取 `库存现存量`，再关联物料、库房、库位，并可继续钻取库存流水。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2015744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_综合查询数据流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2015744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rFonts w:ascii="Calibri" w:hAnsi="Calibri" w:eastAsia="微软雅黑"/>
          <w:b w:val="0"/>
          <w:color w:val="000000"/>
          <w:sz w:val="21"/>
        </w:rPr>
        <w:t>综合查询输出：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输出字段</w:t>
            </w:r>
          </w:p>
        </w:tc>
        <w:tc>
          <w:tcPr>
            <w:tcW w:type="dxa" w:w="676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来源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物料编码、物料名称、图号或型号、规格、单位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物料主文件/库存现存量冗余字段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总库存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库存现存量按物料汇总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主库房、主库位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库存数量最大的库位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库位明细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库存现存量按物料展开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最近变动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库存变动流水</w:t>
            </w:r>
          </w:p>
        </w:tc>
      </w:tr>
    </w:tbl>
    <w:p/>
    <w:p>
      <w:pPr>
        <w:pStyle w:val="Heading1"/>
      </w:pPr>
      <w:r>
        <w:rPr>
          <w:rFonts w:ascii="Calibri" w:hAnsi="Calibri" w:eastAsia="微软雅黑"/>
          <w:b/>
          <w:color w:val="2E74B5"/>
          <w:sz w:val="32"/>
        </w:rPr>
        <w:t>9. 正向查询和逆向查询数据流</w:t>
      </w:r>
    </w:p>
    <w:p>
      <w:pPr>
        <w:pStyle w:val="Heading2"/>
      </w:pPr>
      <w:r>
        <w:rPr>
          <w:rFonts w:ascii="Calibri" w:hAnsi="Calibri" w:eastAsia="微软雅黑"/>
          <w:b/>
          <w:color w:val="2E74B5"/>
          <w:sz w:val="26"/>
        </w:rPr>
        <w:t>9.1 物料正向查询</w:t>
      </w:r>
    </w:p>
    <w:p>
      <w:r>
        <w:rPr>
          <w:rFonts w:ascii="Calibri" w:hAnsi="Calibri" w:eastAsia="微软雅黑"/>
          <w:b w:val="0"/>
          <w:color w:val="000000"/>
          <w:sz w:val="21"/>
        </w:rPr>
        <w:t>正向查询回答：某个物料在哪些库位。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2015744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_正向查询数据流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2015744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2"/>
      </w:pPr>
      <w:r>
        <w:rPr>
          <w:rFonts w:ascii="Calibri" w:hAnsi="Calibri" w:eastAsia="微软雅黑"/>
          <w:b/>
          <w:color w:val="2E74B5"/>
          <w:sz w:val="26"/>
        </w:rPr>
        <w:t>9.2 库位逆向查询</w:t>
      </w:r>
    </w:p>
    <w:p>
      <w:r>
        <w:rPr>
          <w:rFonts w:ascii="Calibri" w:hAnsi="Calibri" w:eastAsia="微软雅黑"/>
          <w:b w:val="0"/>
          <w:color w:val="000000"/>
          <w:sz w:val="21"/>
        </w:rPr>
        <w:t>逆向查询回答：某个库位放了哪些物料。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2015744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_逆向查询数据流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2015744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rPr>
          <w:rFonts w:ascii="Calibri" w:hAnsi="Calibri" w:eastAsia="微软雅黑"/>
          <w:b/>
          <w:color w:val="2E74B5"/>
          <w:sz w:val="32"/>
        </w:rPr>
        <w:t>10. 数据一致性控制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控制点</w:t>
            </w:r>
          </w:p>
        </w:tc>
        <w:tc>
          <w:tcPr>
            <w:tcW w:type="dxa" w:w="676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说明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单事务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入库、出库、移库、盘点确认必须在数据库事务内完成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防负库存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出库、移库、盘亏都必须重新读取数据库库存并校验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流水必写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只要库存数量变化，就必须写库存变动流水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单据关联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库存流水必须记录业务类型、业务单号、业务主表流水号、业务明细流水号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库位精确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库存扣减必须精确到库位，不能只按物料扣减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0 库存保留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库存为 0 的现存量记录可保留，查询默认过滤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历史追溯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查询当前库存看现存量，查变化原因看库存流水</w:t>
            </w:r>
          </w:p>
        </w:tc>
      </w:tr>
    </w:tbl>
    <w:p/>
    <w:p>
      <w:pPr>
        <w:pStyle w:val="Heading1"/>
      </w:pPr>
      <w:r>
        <w:rPr>
          <w:rFonts w:ascii="Calibri" w:hAnsi="Calibri" w:eastAsia="微软雅黑"/>
          <w:b/>
          <w:color w:val="2E74B5"/>
          <w:sz w:val="32"/>
        </w:rPr>
        <w:t>11. 数据落表顺序</w:t>
      </w:r>
    </w:p>
    <w:p>
      <w:pPr>
        <w:pStyle w:val="Heading2"/>
      </w:pPr>
      <w:r>
        <w:rPr>
          <w:rFonts w:ascii="Calibri" w:hAnsi="Calibri" w:eastAsia="微软雅黑"/>
          <w:b/>
          <w:color w:val="2E74B5"/>
          <w:sz w:val="26"/>
        </w:rPr>
        <w:t>11.1 入库落表顺序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校验物料、库房、库位、数量。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写入入库单主表。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写入入库单明细表。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调用库存增加过程。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更新或新增库存现存量。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写入库存变动流水。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提交事务。</w:t>
      </w:r>
    </w:p>
    <w:p>
      <w:pPr>
        <w:pStyle w:val="Heading2"/>
      </w:pPr>
      <w:r>
        <w:rPr>
          <w:rFonts w:ascii="Calibri" w:hAnsi="Calibri" w:eastAsia="微软雅黑"/>
          <w:b/>
          <w:color w:val="2E74B5"/>
          <w:sz w:val="26"/>
        </w:rPr>
        <w:t>11.2 出库落表顺序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校验物料、库位、数量。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写入出库单主表。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写入出库单明细表。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调用库存扣减过程。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锁定库存现存量并校验可用数量。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扣减库存现存量。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写入库存变动流水。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提交事务。</w:t>
      </w:r>
    </w:p>
    <w:p>
      <w:pPr>
        <w:pStyle w:val="Heading2"/>
      </w:pPr>
      <w:r>
        <w:rPr>
          <w:rFonts w:ascii="Calibri" w:hAnsi="Calibri" w:eastAsia="微软雅黑"/>
          <w:b/>
          <w:color w:val="2E74B5"/>
          <w:sz w:val="26"/>
        </w:rPr>
        <w:t>11.3 移库落表顺序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校验原库位、目标库位、移库数量。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写入移库单主表。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写入移库单明细表。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锁定原库位库存并扣减。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更新或新增目标库位库存。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写入移出流水。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写入移入流水。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提交事务。</w:t>
      </w:r>
    </w:p>
    <w:p>
      <w:pPr>
        <w:pStyle w:val="Heading2"/>
      </w:pPr>
      <w:r>
        <w:rPr>
          <w:rFonts w:ascii="Calibri" w:hAnsi="Calibri" w:eastAsia="微软雅黑"/>
          <w:b/>
          <w:color w:val="2E74B5"/>
          <w:sz w:val="26"/>
        </w:rPr>
        <w:t>11.4 盘点确认落表顺序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读取盘点单明细。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校验盘点单状态为待确认。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按明细计算差异。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无差异只确认明细。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盘盈调用库存增加过程。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盘亏调用库存扣减过程。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写库存变动流水。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更新盘点单状态为已确认。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提交事务。</w:t>
      </w:r>
    </w:p>
    <w:p>
      <w:pPr>
        <w:pStyle w:val="Heading1"/>
      </w:pPr>
      <w:r>
        <w:rPr>
          <w:rFonts w:ascii="Calibri" w:hAnsi="Calibri" w:eastAsia="微软雅黑"/>
          <w:b/>
          <w:color w:val="2E74B5"/>
          <w:sz w:val="32"/>
        </w:rPr>
        <w:t>12. 前端页面数据流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2015744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_前端页面数据流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2015744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rFonts w:ascii="Calibri" w:hAnsi="Calibri" w:eastAsia="微软雅黑"/>
          <w:b w:val="0"/>
          <w:color w:val="000000"/>
          <w:sz w:val="21"/>
        </w:rPr>
        <w:t>前端传参要求：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参数</w:t>
            </w:r>
          </w:p>
        </w:tc>
        <w:tc>
          <w:tcPr>
            <w:tcW w:type="dxa" w:w="676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来源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UserID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Cookie 当前用户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ModularID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当前路由路径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name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中文接口名称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type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查询为 1，增删改为 2，批量为 7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param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`key=value&amp;key2=value2` 字符串</w:t>
            </w:r>
          </w:p>
        </w:tc>
      </w:tr>
    </w:tbl>
    <w:p/>
    <w:p>
      <w:pPr>
        <w:pStyle w:val="Heading1"/>
      </w:pPr>
      <w:r>
        <w:rPr>
          <w:rFonts w:ascii="Calibri" w:hAnsi="Calibri" w:eastAsia="微软雅黑"/>
          <w:b/>
          <w:color w:val="2E74B5"/>
          <w:sz w:val="32"/>
        </w:rPr>
        <w:t>13. 推荐接口数据流名称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页面动作</w:t>
            </w:r>
          </w:p>
        </w:tc>
        <w:tc>
          <w:tcPr>
            <w:tcW w:type="dxa" w:w="676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name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查询库房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仓储管理_库房_查询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查询库位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仓储管理_库位_查询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入库提交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仓储管理_入库_增加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出库提交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仓储管理_出库_增加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移库提交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仓储管理_库存_移库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创建盘点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仓储管理_库存盘点_创建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录入实盘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仓储管理_库存盘点_实盘_编辑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确认盘点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仓储管理_库存盘点_确认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综合查询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仓储管理_库存_综合查询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物料正向查询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仓储管理_库存_物料正向查询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库位逆向查询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仓储管理_库存_库位逆向查询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库存流水查询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仓储管理_库存_变动流水_查询</w:t>
            </w:r>
          </w:p>
        </w:tc>
      </w:tr>
    </w:tbl>
    <w:p/>
    <w:p>
      <w:r>
        <w:rPr>
          <w:rFonts w:ascii="Calibri" w:hAnsi="Calibri" w:eastAsia="微软雅黑"/>
          <w:b w:val="0"/>
          <w:color w:val="000000"/>
          <w:sz w:val="21"/>
        </w:rPr>
        <w:t>修改人:Ld 修改时间:2026-07-29 10:42:45</w:t>
      </w:r>
    </w:p>
    <w:sectPr w:rsidR="00FC693F" w:rsidRPr="0006063C" w:rsidSect="00034616">
      <w:footerReference w:type="default" r:id="rId1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微软雅黑"/>
        <w:b w:val="0"/>
        <w:color w:val="666666"/>
        <w:sz w:val="18"/>
      </w:rPr>
      <w:t>库房管理方案数据流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 w:eastAsia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 w:line="264" w:lineRule="auto"/>
      <w:outlineLvl w:val="0"/>
    </w:pPr>
    <w:rPr>
      <w:rFonts w:asciiTheme="majorHAnsi" w:eastAsiaTheme="majorEastAsia" w:hAnsiTheme="majorHAnsi" w:cstheme="majorBidi" w:ascii="Calibri" w:hAnsi="Calibri" w:eastAsia="微软雅黑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 w:line="264" w:lineRule="auto"/>
      <w:outlineLvl w:val="1"/>
    </w:pPr>
    <w:rPr>
      <w:rFonts w:asciiTheme="majorHAnsi" w:eastAsiaTheme="majorEastAsia" w:hAnsiTheme="majorHAnsi" w:cstheme="majorBidi" w:ascii="Calibri" w:hAnsi="Calibri" w:eastAsia="微软雅黑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64" w:lineRule="auto"/>
      <w:outlineLvl w:val="2"/>
    </w:pPr>
    <w:rPr>
      <w:rFonts w:asciiTheme="majorHAnsi" w:eastAsiaTheme="majorEastAsia" w:hAnsiTheme="majorHAnsi" w:cstheme="majorBidi" w:ascii="Calibri" w:hAnsi="Calibri" w:eastAsia="微软雅黑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