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rFonts w:ascii="Calibri" w:hAnsi="Calibri" w:eastAsia="微软雅黑"/>
          <w:b/>
          <w:color w:val="0B2545"/>
          <w:sz w:val="44"/>
        </w:rPr>
        <w:t>库房管理方案数据流</w:t>
      </w:r>
    </w:p>
    <w:p>
      <w:pPr>
        <w:spacing w:after="280"/>
      </w:pPr>
      <w:r>
        <w:rPr>
          <w:rFonts w:ascii="Calibri" w:hAnsi="Calibri" w:eastAsia="微软雅黑"/>
          <w:b w:val="0"/>
          <w:color w:val="666666"/>
          <w:sz w:val="21"/>
        </w:rPr>
        <w:t>景耀 JY1.0 MES 仓储模块数据流、落表顺序与接口流转说明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1. 数据流总览</w:t>
      </w:r>
    </w:p>
    <w:p>
      <w:r>
        <w:rPr>
          <w:rFonts w:ascii="Calibri" w:hAnsi="Calibri" w:eastAsia="微软雅黑"/>
          <w:b w:val="0"/>
          <w:color w:val="000000"/>
          <w:sz w:val="21"/>
        </w:rPr>
        <w:t>库房管理模块的数据流以 `库存现存量` 为当前结果表，以 `库存变动流水` 为全过程追溯表。所有入库、出库、移库、盘点确认都不能直接只改现存量，必须同步写入业务单据和库存流水。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LR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A["库房主数据"] --&gt; C["库位主数据"]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B["物料主文件"] --&gt; D["库存现存量"]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E["入库单"] --&gt; P1["库存增加过程"]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F["出库单"] --&gt; P2["库存扣减过程"]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G["移库单"] --&gt; P3["库存移库过程"]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H["盘点单"] --&gt; P4["盘点确认过程"]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P1 --&gt; 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P2 --&gt; 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P3 --&gt; 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P4 --&gt; 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P1 --&gt; L["库存变动流水"]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P2 --&gt; L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P3 --&gt; L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P4 --&gt; L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Q1["物料综合查询"]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Q2["物料正向查询"]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Q3["库位逆向查询"]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L --&gt; Q4["库存追溯查询"]</w:t>
      </w:r>
    </w:p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2. 核心数据对象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500"/>
        <w:gridCol w:w="2500"/>
        <w:gridCol w:w="2660"/>
      </w:tblGrid>
      <w:tr>
        <w:tc>
          <w:tcPr>
            <w:tcW w:type="dxa" w:w="1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数据对象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数据来源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写入时机</w:t>
            </w:r>
          </w:p>
        </w:tc>
        <w:tc>
          <w:tcPr>
            <w:tcW w:type="dxa" w:w="26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主要用途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库房主表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库房管理页面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新增、编辑库房时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定义仓储空间一级单位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库位主表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库位管理页面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新增、编辑库位时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定义物料实际存放位置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现有物料维护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物料建档时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提供物料编码、名称、图号、规格、单位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入库提交成功时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记录入库业务来源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出库提交成功时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记录出库业务来源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移库提交成功时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记录库位之间库存移动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盘点单主表/明细表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盘点页面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创建盘点、录入实盘、确认盘点时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记录账面、实盘和差异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公共库存过程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入库、出库、移库、盘点确认时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查询当前库存结果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公共库存过程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每次库存数量变化时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追溯库存变化原因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3. 主数据流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主数据先建立库房，再建立库位，物料主文件沿用现有数据。库存业务发生前，库位必须归属一个有效库房。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TD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A["维护库房"] --&gt; B["写入 仓储管理_库房主表"]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C["维护库位"]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D["写入 仓储管理_库位主表"]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E["现有物料维护"] --&gt; F["库存管理_物料主文件_基本"]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G["入库/出库/移库/盘点可选择库位"]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 G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数据规则：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`库位主表.库房流水号` 必须关联 `库房主表.库房流水号`。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同一库房下 `库位编号` 不允许重复。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停用库位不允许在新业务中选择。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已有库存的库位不允许直接删除。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4. 入库数据流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入库数据流从入库页面开始，先形成入库单据，再调用公共库存增加过程，最后更新库存现存量并写流水。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sequenceDiagram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UI as 入库页面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API as MESCommonBase.ashx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SP as 入库存储过程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ADD as 仓储管理_库存_增加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STOCK as 库存现存量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LOG as 库存变动流水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UI-&gt;&gt;API: 提交物料、批次、库房、库位、入库数量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API-&gt;&gt;SP: name=仓储管理_入库_增加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SP-&gt;&gt;SP: 写入入库单主表/明细表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SP-&gt;&gt;ADD: 调用库存增加过程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ADD-&gt;&gt;STOCK: 存在则累加，不存在则新增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ADD-&gt;&gt;LOG: 写入变动类型=入库，数量为正数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ADD--&gt;&gt;SP: 返回变动后库存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SP--&gt;&gt;API: 返回成功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API--&gt;&gt;UI: 刷新入库记录和库存查询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入库关键字段：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字段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去向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物料流水号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库房流水号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库位流水号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批次编号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入库明细表、库存现存量、库存变动流水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入库数量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入库明细表，库存流水正数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入库单号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入库主表，库存流水业务单号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5. 出库数据流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出库必须先查询可用库存，再指定具体库位扣减。后端以数据库当前库存为准重新校验，不能只相信前端显示数量。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sequenceDiagram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UI as 出库页面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QUERY as 可用库存查询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API as MESCommonBase.ashx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SP as 出库存储过程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SUB as 仓储管理_库存_扣减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STOCK as 库存现存量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participant LOG as 库存变动流水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UI-&gt;&gt;QUERY: 按物料查询可用库位库存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QUERY--&gt;&gt;UI: 返回库房、库位、批次、可用数量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UI-&gt;&gt;API: 提交出库库位和出库数量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API-&gt;&gt;SP: name=仓储管理_出库_增加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SP-&gt;&gt;SP: 写入出库单主表/明细表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SP-&gt;&gt;SUB: 调用库存扣减过程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SUB-&gt;&gt;STOCK: 锁定库存并校验可用数量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SUB-&gt;&gt;STOCK: 扣减库存数量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SUB-&gt;&gt;LOG: 写入变动类型=出库，数量为负数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SP--&gt;&gt;API: 返回成功或库存不足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API--&gt;&gt;UI: 刷新出库记录和库存查询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出库控制点：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出库数量必须大于 0。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出库数量不能超过数据库当前可用库存。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同一物料多库位时，必须传入 `库位流水号` 或 `库存流水号`。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库存扣减后为 0 时，建议保留库存现存量记录，查询默认过滤 0 库存。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6. 移库数据流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移库是同一事务内完成“原库位扣减”和“目标库位增加”。前端不能拆成两个接口。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TD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A["选择原库存记录"] --&gt; B["输入移库数量"]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C["选择目标库房/目标库位"]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D["提交移库单"]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E["写移库单主表/明细表"]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E --&gt; F{"原库位库存是否足够"}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--&gt;|否| X["回滚并提示库存不足"]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--&gt;|是| G["原库位库存减少"]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G --&gt; H["目标库位库存增加"]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 --&gt; I["写库存流水：移出"]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 --&gt; J["写库存流水：移入"]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I --&gt; K["提交事务"]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J --&gt; K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移库流水规则：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500"/>
        <w:gridCol w:w="2500"/>
        <w:gridCol w:w="2660"/>
      </w:tblGrid>
      <w:tr>
        <w:tc>
          <w:tcPr>
            <w:tcW w:type="dxa" w:w="17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流水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变动类型</w:t>
            </w:r>
          </w:p>
        </w:tc>
        <w:tc>
          <w:tcPr>
            <w:tcW w:type="dxa" w:w="25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库位</w:t>
            </w:r>
          </w:p>
        </w:tc>
        <w:tc>
          <w:tcPr>
            <w:tcW w:type="dxa" w:w="26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数量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第一条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移出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原库位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负数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第二条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移入</w:t>
            </w:r>
          </w:p>
        </w:tc>
        <w:tc>
          <w:tcPr>
            <w:tcW w:type="dxa" w:w="2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目标库位</w:t>
            </w:r>
          </w:p>
        </w:tc>
        <w:tc>
          <w:tcPr>
            <w:tcW w:type="dxa" w:w="2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正数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7. 盘点数据流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盘点分为生成账面、录入实盘、确认差异三段。只有确认差异时才改变库存。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TD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A["创建盘点单"] --&gt; B["按库房/库位/物料范围读取库存现存量"]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C["生成盘点明细：记录账面数量"]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D["盘点人员录入实盘数量"]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E["系统计算差异数量=实盘-账面"]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E --&gt; F{"差异是否为0"}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--&gt;|是| G["明细标记无差异"]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--&gt;|否| H["填写差异原因和处理方式"]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 --&gt; I["主管确认盘点"]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I --&gt; J{"差异方向"}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J --&gt;|盘盈| K["调用库存增加过程"]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J --&gt;|盘亏| L["调用库存扣减过程"]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K --&gt; M["写库存流水"]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L --&gt; M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G --&gt; N["盘点单已确认"]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M --&gt; N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盘点数据状态：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3580"/>
        <w:gridCol w:w="3580"/>
      </w:tblGrid>
      <w:tr>
        <w:tc>
          <w:tcPr>
            <w:tcW w:type="dxa" w:w="22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阶段</w:t>
            </w:r>
          </w:p>
        </w:tc>
        <w:tc>
          <w:tcPr>
            <w:tcW w:type="dxa" w:w="358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写入表</w:t>
            </w:r>
          </w:p>
        </w:tc>
        <w:tc>
          <w:tcPr>
            <w:tcW w:type="dxa" w:w="358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是否影响库存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盘点单主表、盘点单明细表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否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录入实盘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盘点单明细表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否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确认盘盈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库存现存量、库存变动流水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是，增加</w:t>
            </w:r>
          </w:p>
        </w:tc>
      </w:tr>
      <w:tr>
        <w:tc>
          <w:tcPr>
            <w:tcW w:type="dxa" w:w="2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确认盘亏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库存现存量、库存变动流水</w:t>
            </w:r>
          </w:p>
        </w:tc>
        <w:tc>
          <w:tcPr>
            <w:tcW w:type="dxa" w:w="358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是，减少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8. 综合查询数据流</w:t>
      </w:r>
    </w:p>
    <w:p>
      <w:r>
        <w:rPr>
          <w:rFonts w:ascii="Calibri" w:hAnsi="Calibri" w:eastAsia="微软雅黑"/>
          <w:b w:val="0"/>
          <w:color w:val="000000"/>
          <w:sz w:val="21"/>
        </w:rPr>
        <w:t>综合查询不从单据实时汇总，而是读取 `库存现存量`，再关联物料、库房、库位，并可继续钻取库存流水。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LR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A["查询条件：物料/库房/库位/是否有库存"] --&gt; B["库存现存量"]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C["关联物料主文件"]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D["关联库房主表"]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E["关联库位主表"]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F["按物料汇总总库存"]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F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E --&gt; F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 G["取库存最多库位作为主库位"]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G --&gt; H["库存综合查询主表"]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 --&gt; I["点击主库位：库位明细"]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 --&gt; J["点击物料：库存流水"]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综合查询输出：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输出字段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来源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物料编码、物料名称、图号或型号、规格、单位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物料主文件/库存现存量冗余字段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总库存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库存现存量按物料汇总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主库房、主库位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库存数量最大的库位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库位明细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库存现存量按物料展开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最近变动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库存变动流水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9. 正向查询和逆向查询数据流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9.1 物料正向查询</w:t>
      </w:r>
    </w:p>
    <w:p>
      <w:r>
        <w:rPr>
          <w:rFonts w:ascii="Calibri" w:hAnsi="Calibri" w:eastAsia="微软雅黑"/>
          <w:b w:val="0"/>
          <w:color w:val="000000"/>
          <w:sz w:val="21"/>
        </w:rPr>
        <w:t>正向查询回答：某个物料在哪些库位。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LR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A["输入物料编码/名称/图号"] --&gt; B["定位物料流水号"]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C["查询库存现存量"]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D["关联库房/库位"]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E["返回库房、库位、批次、库存数量"]</w:t>
      </w:r>
    </w:p>
    <w:p/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9.2 库位逆向查询</w:t>
      </w:r>
    </w:p>
    <w:p>
      <w:r>
        <w:rPr>
          <w:rFonts w:ascii="Calibri" w:hAnsi="Calibri" w:eastAsia="微软雅黑"/>
          <w:b w:val="0"/>
          <w:color w:val="000000"/>
          <w:sz w:val="21"/>
        </w:rPr>
        <w:t>逆向查询回答：某个库位放了哪些物料。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LR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A["选择库房/库位"] --&gt; B["定位库位流水号"]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B --&gt; C["查询库存现存量"]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C --&gt; D["关联物料主文件"]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D --&gt; E["返回物料、图号、规格、批次、库存数量"]</w:t>
      </w:r>
    </w:p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10. 数据一致性控制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控制点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说明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单事务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入库、出库、移库、盘点确认必须在数据库事务内完成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防负库存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出库、移库、盘亏都必须重新读取数据库库存并校验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流水必写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只要库存数量变化，就必须写库存变动流水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单据关联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库存流水必须记录业务类型、业务单号、业务主表流水号、业务明细流水号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库位精确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库存扣减必须精确到库位，不能只按物料扣减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0 库存保留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库存为 0 的现存量记录可保留，查询默认过滤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历史追溯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查询当前库存看现存量，查变化原因看库存流水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11. 数据落表顺序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11.1 入库落表顺序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校验物料、库房、库位、数量。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写入入库单主表。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写入入库单明细表。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调用库存增加过程。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更新或新增库存现存量。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写入库存变动流水。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11.2 出库落表顺序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校验物料、库位、数量。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写入出库单主表。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写入出库单明细表。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调用库存扣减过程。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锁定库存现存量并校验可用数量。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扣减库存现存量。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写入库存变动流水。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11.3 移库落表顺序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校验原库位、目标库位、移库数量。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写入移库单主表。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写入移库单明细表。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锁定原库位库存并扣减。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更新或新增目标库位库存。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写入移出流水。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写入移入流水。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2"/>
      </w:pPr>
      <w:r>
        <w:rPr>
          <w:rFonts w:ascii="Calibri" w:hAnsi="Calibri" w:eastAsia="微软雅黑"/>
          <w:b/>
          <w:color w:val="2E74B5"/>
          <w:sz w:val="26"/>
        </w:rPr>
        <w:t>11.4 盘点确认落表顺序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读取盘点单明细。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校验盘点单状态为待确认。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按明细计算差异。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无差异只确认明细。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盘盈调用库存增加过程。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盘亏调用库存扣减过程。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写库存变动流水。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更新盘点单状态为已确认。</w:t>
      </w:r>
    </w:p>
    <w:p>
      <w:pPr>
        <w:pStyle w:val="ListNumber"/>
        <w:spacing w:after="80"/>
      </w:pPr>
      <w:r>
        <w:rPr>
          <w:rFonts w:ascii="Calibri" w:hAnsi="Calibri" w:eastAsia="微软雅黑"/>
          <w:b w:val="0"/>
          <w:color w:val="000000"/>
          <w:sz w:val="21"/>
        </w:rPr>
        <w:t>提交事务。</w:t>
      </w:r>
    </w:p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12. 前端页面数据流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>flowchart TD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A["页面 created 初始化"] --&gt; B["读取库房下拉"]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 --&gt; C["读取启用库位"]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A --&gt; D["读取库存汇总表"]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E["用户输入查询条件"] --&gt; F["CreateData 构建 param 字符串"]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F --&gt; G["ExecDatabase POST MESCommonBase.ashx"]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G --&gt; H["后端按 name 路由存储过程"]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H --&gt; I["返回中文字段结果集"]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I --&gt; J["el-table 展示中文字段"]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J --&gt; K["点击物料/库位"]</w:t>
      </w:r>
    </w:p>
    <w:p>
      <w:pPr>
        <w:spacing w:after="0"/>
        <w:ind w:left="360"/>
      </w:pPr>
      <w:r>
        <w:rPr>
          <w:rFonts w:ascii="Consolas" w:hAnsi="Consolas" w:eastAsia="Consolas"/>
          <w:b w:val="0"/>
          <w:color w:val="3C3C3C"/>
          <w:sz w:val="17"/>
        </w:rPr>
        <w:t xml:space="preserve">  K --&gt; L["再次查询明细或流水"]</w:t>
      </w:r>
    </w:p>
    <w:p/>
    <w:p>
      <w:r>
        <w:rPr>
          <w:rFonts w:ascii="Calibri" w:hAnsi="Calibri" w:eastAsia="微软雅黑"/>
          <w:b w:val="0"/>
          <w:color w:val="000000"/>
          <w:sz w:val="21"/>
        </w:rPr>
        <w:t>前端传参要求：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参数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来源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UserID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Cookie 当前用户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ModularID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当前路由路径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name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中文接口名称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type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查询为 1，增删改为 2，批量为 7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param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`key=value&amp;key2=value2` 字符串</w:t>
            </w:r>
          </w:p>
        </w:tc>
      </w:tr>
    </w:tbl>
    <w:p/>
    <w:p>
      <w:pPr>
        <w:pStyle w:val="Heading1"/>
      </w:pPr>
      <w:r>
        <w:rPr>
          <w:rFonts w:ascii="Calibri" w:hAnsi="Calibri" w:eastAsia="微软雅黑"/>
          <w:b/>
          <w:color w:val="2E74B5"/>
          <w:sz w:val="32"/>
        </w:rPr>
        <w:t>13. 推荐接口数据流名称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页面动作</w:t>
            </w:r>
          </w:p>
        </w:tc>
        <w:tc>
          <w:tcPr>
            <w:tcW w:type="dxa" w:w="6760"/>
            <w:shd w:fill="F2F4F7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color w:val="000000"/>
                <w:sz w:val="18"/>
              </w:rPr>
              <w:t>name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查询库房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仓储管理_库房_查询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查询库位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仓储管理_库位_查询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入库提交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仓储管理_入库_增加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出库提交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仓储管理_出库_增加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移库提交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仓储管理_库存_移库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创建盘点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仓储管理_库存盘点_创建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录入实盘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仓储管理_库存盘点_实盘_编辑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确认盘点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仓储管理_库存盘点_确认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综合查询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仓储管理_库存_综合查询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物料正向查询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仓储管理_库存_物料正向查询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库位逆向查询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仓储管理_库存_库位逆向查询</w:t>
            </w:r>
          </w:p>
        </w:tc>
      </w:tr>
      <w:tr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库存流水查询</w:t>
            </w:r>
          </w:p>
        </w:tc>
        <w:tc>
          <w:tcPr>
            <w:tcW w:type="dxa" w:w="67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jc w:val="left"/>
            </w:pPr>
            <w:r/>
            <w:r>
              <w:rPr>
                <w:rFonts w:ascii="Calibri" w:hAnsi="Calibri" w:eastAsia="微软雅黑"/>
                <w:b w:val="0"/>
                <w:color w:val="000000"/>
                <w:sz w:val="18"/>
              </w:rPr>
              <w:t>仓储管理_库存_变动流水_查询</w:t>
            </w:r>
          </w:p>
        </w:tc>
      </w:tr>
    </w:tbl>
    <w:p/>
    <w:p>
      <w:r>
        <w:rPr>
          <w:rFonts w:ascii="Calibri" w:hAnsi="Calibri" w:eastAsia="微软雅黑"/>
          <w:b w:val="0"/>
          <w:color w:val="000000"/>
          <w:sz w:val="21"/>
        </w:rPr>
        <w:t>修改人:Ld 修改时间:2026-07-29 10:42:45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微软雅黑"/>
        <w:b w:val="0"/>
        <w:color w:val="666666"/>
        <w:sz w:val="18"/>
      </w:rPr>
      <w:t>库房管理方案数据流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64" w:lineRule="auto"/>
      <w:outlineLvl w:val="0"/>
    </w:pPr>
    <w:rPr>
      <w:rFonts w:asciiTheme="majorHAnsi" w:eastAsiaTheme="majorEastAsia" w:hAnsiTheme="majorHAnsi" w:cstheme="majorBidi" w:ascii="Calibri" w:hAnsi="Calibri" w:eastAsia="微软雅黑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64" w:lineRule="auto"/>
      <w:outlineLvl w:val="1"/>
    </w:pPr>
    <w:rPr>
      <w:rFonts w:asciiTheme="majorHAnsi" w:eastAsiaTheme="majorEastAsia" w:hAnsiTheme="majorHAnsi" w:cstheme="majorBidi" w:ascii="Calibri" w:hAnsi="Calibri" w:eastAsia="微软雅黑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Calibri" w:hAnsi="Calibri" w:eastAsia="微软雅黑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